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397CB" w14:textId="77777777" w:rsidR="00FF226E" w:rsidRPr="00E602A8" w:rsidRDefault="00FF226E" w:rsidP="00CA1357">
      <w:pPr>
        <w:pStyle w:val="NormalWeb"/>
        <w:spacing w:before="0" w:beforeAutospacing="0" w:after="150" w:afterAutospacing="0"/>
        <w:jc w:val="both"/>
        <w:rPr>
          <w:b/>
          <w:bCs/>
          <w:color w:val="000000" w:themeColor="text1"/>
          <w:lang w:val="et-EE"/>
        </w:rPr>
      </w:pPr>
    </w:p>
    <w:p w14:paraId="4F1E221A" w14:textId="77777777" w:rsidR="00E602A8" w:rsidRPr="00FF226E" w:rsidRDefault="00E602A8" w:rsidP="00E602A8">
      <w:pPr>
        <w:pStyle w:val="Header"/>
        <w:tabs>
          <w:tab w:val="left" w:pos="6096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FF226E">
        <w:rPr>
          <w:rFonts w:ascii="Times New Roman" w:hAnsi="Times New Roman" w:cs="Times New Roman"/>
          <w:color w:val="000000"/>
          <w:sz w:val="24"/>
          <w:szCs w:val="24"/>
          <w:lang w:val="et-EE"/>
        </w:rPr>
        <w:t>Kinnitatud</w:t>
      </w:r>
      <w:r w:rsidRPr="00FF226E">
        <w:rPr>
          <w:rFonts w:ascii="Times New Roman" w:hAnsi="Times New Roman" w:cs="Times New Roman"/>
          <w:sz w:val="24"/>
          <w:szCs w:val="24"/>
          <w:lang w:val="et-EE"/>
        </w:rPr>
        <w:t xml:space="preserve"> tervisedendaja</w:t>
      </w:r>
      <w:r w:rsidRPr="00FF226E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520F2D24" w14:textId="25A9E5B8" w:rsidR="00E602A8" w:rsidRPr="00FF226E" w:rsidRDefault="00E602A8" w:rsidP="00E602A8">
      <w:pPr>
        <w:pStyle w:val="Header"/>
        <w:tabs>
          <w:tab w:val="left" w:pos="6096"/>
          <w:tab w:val="left" w:pos="666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F226E">
        <w:rPr>
          <w:rFonts w:ascii="Times New Roman" w:hAnsi="Times New Roman" w:cs="Times New Roman"/>
          <w:color w:val="000000"/>
          <w:sz w:val="24"/>
          <w:szCs w:val="24"/>
          <w:lang w:val="et-EE"/>
        </w:rPr>
        <w:t>kutseko</w:t>
      </w:r>
      <w:r w:rsidR="0046573A">
        <w:rPr>
          <w:rFonts w:ascii="Times New Roman" w:hAnsi="Times New Roman" w:cs="Times New Roman"/>
          <w:color w:val="000000"/>
          <w:sz w:val="24"/>
          <w:szCs w:val="24"/>
          <w:lang w:val="et-EE"/>
        </w:rPr>
        <w:t>misjoni 23.11.2017 otsusega nr 4.</w:t>
      </w:r>
    </w:p>
    <w:p w14:paraId="2B3FB94F" w14:textId="77777777" w:rsidR="00E602A8" w:rsidRDefault="00E602A8" w:rsidP="00CA1357">
      <w:pPr>
        <w:pStyle w:val="NormalWeb"/>
        <w:spacing w:before="0" w:beforeAutospacing="0" w:after="150" w:afterAutospacing="0"/>
        <w:jc w:val="both"/>
        <w:rPr>
          <w:b/>
          <w:bCs/>
          <w:color w:val="000000" w:themeColor="text1"/>
          <w:lang w:val="et-EE"/>
        </w:rPr>
      </w:pPr>
    </w:p>
    <w:p w14:paraId="6AB33869" w14:textId="16613BCC" w:rsidR="00CA1357" w:rsidRPr="00E602A8" w:rsidRDefault="00CA1357" w:rsidP="00CA1357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b/>
          <w:bCs/>
          <w:color w:val="000000" w:themeColor="text1"/>
          <w:lang w:val="et-EE"/>
        </w:rPr>
        <w:t>HINDAMISSTANDARD TERVISEDENDAJA, TASE 6 KUTSELE</w:t>
      </w:r>
    </w:p>
    <w:p w14:paraId="78880309" w14:textId="55804492" w:rsidR="00CA1357" w:rsidRPr="00E602A8" w:rsidRDefault="00CA1357" w:rsidP="00CA1357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b/>
          <w:bCs/>
          <w:color w:val="000000" w:themeColor="text1"/>
          <w:lang w:val="et-EE"/>
        </w:rPr>
        <w:t xml:space="preserve">Kutsestandardi nimetus: </w:t>
      </w:r>
      <w:r w:rsidR="00084272" w:rsidRPr="00E602A8">
        <w:rPr>
          <w:b/>
          <w:bCs/>
          <w:color w:val="000000" w:themeColor="text1"/>
          <w:lang w:val="et-EE"/>
        </w:rPr>
        <w:t>T</w:t>
      </w:r>
      <w:r w:rsidRPr="00E602A8">
        <w:rPr>
          <w:b/>
          <w:bCs/>
          <w:color w:val="000000" w:themeColor="text1"/>
          <w:lang w:val="et-EE"/>
        </w:rPr>
        <w:t>ervisedendaja, tase 6</w:t>
      </w:r>
    </w:p>
    <w:p w14:paraId="7ECC1849" w14:textId="5FB56D71" w:rsidR="00037B84" w:rsidRPr="00E602A8" w:rsidRDefault="00037B84" w:rsidP="00037B8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Kutse taotlemise tingimused:</w:t>
      </w:r>
    </w:p>
    <w:p w14:paraId="76CCA87E" w14:textId="77777777" w:rsidR="00037B84" w:rsidRPr="00E602A8" w:rsidRDefault="00E1035F" w:rsidP="00037B84">
      <w:pPr>
        <w:pStyle w:val="NormalWeb"/>
        <w:numPr>
          <w:ilvl w:val="0"/>
          <w:numId w:val="14"/>
        </w:numPr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k</w:t>
      </w:r>
      <w:r w:rsidR="00037B84" w:rsidRPr="00E602A8">
        <w:rPr>
          <w:color w:val="000000" w:themeColor="text1"/>
          <w:lang w:val="et-EE"/>
        </w:rPr>
        <w:t>õrgharidus</w:t>
      </w:r>
      <w:r w:rsidRPr="00E602A8">
        <w:rPr>
          <w:color w:val="000000" w:themeColor="text1"/>
          <w:lang w:val="et-EE"/>
        </w:rPr>
        <w:t>;</w:t>
      </w:r>
    </w:p>
    <w:p w14:paraId="2468F345" w14:textId="3ED0A59B" w:rsidR="00037B84" w:rsidRPr="00E602A8" w:rsidRDefault="00E1035F" w:rsidP="00E1035F">
      <w:pPr>
        <w:pStyle w:val="NormalWeb"/>
        <w:numPr>
          <w:ilvl w:val="0"/>
          <w:numId w:val="14"/>
        </w:numPr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e</w:t>
      </w:r>
      <w:r w:rsidR="00037B84" w:rsidRPr="00E602A8">
        <w:rPr>
          <w:color w:val="000000" w:themeColor="text1"/>
          <w:lang w:val="et-EE"/>
        </w:rPr>
        <w:t>rialane täiend</w:t>
      </w:r>
      <w:r w:rsidR="00F635D2">
        <w:rPr>
          <w:color w:val="000000" w:themeColor="text1"/>
          <w:lang w:val="et-EE"/>
        </w:rPr>
        <w:t>us</w:t>
      </w:r>
      <w:r w:rsidR="00037B84" w:rsidRPr="00E602A8">
        <w:rPr>
          <w:color w:val="000000" w:themeColor="text1"/>
          <w:lang w:val="et-EE"/>
        </w:rPr>
        <w:t>koolitus</w:t>
      </w:r>
      <w:r w:rsidRPr="00E602A8">
        <w:rPr>
          <w:color w:val="000000" w:themeColor="text1"/>
          <w:lang w:val="et-EE"/>
        </w:rPr>
        <w:t xml:space="preserve"> (arvestatakse tervisedendus</w:t>
      </w:r>
      <w:r w:rsidR="00EF031E" w:rsidRPr="00E602A8">
        <w:rPr>
          <w:color w:val="000000" w:themeColor="text1"/>
          <w:lang w:val="et-EE"/>
        </w:rPr>
        <w:t>e</w:t>
      </w:r>
      <w:r w:rsidRPr="00E602A8">
        <w:rPr>
          <w:color w:val="000000" w:themeColor="text1"/>
          <w:lang w:val="et-EE"/>
        </w:rPr>
        <w:t xml:space="preserve">alaseid ning teisi tervisedendaja kutsestandardis kirjeldatud teadmiste, oskuste ja kompetentsidega seotud koolitusi, õppepäevi, </w:t>
      </w:r>
      <w:r w:rsidR="00F635D2">
        <w:rPr>
          <w:color w:val="000000" w:themeColor="text1"/>
          <w:lang w:val="et-EE"/>
        </w:rPr>
        <w:t>õppe</w:t>
      </w:r>
      <w:r w:rsidRPr="00E602A8">
        <w:rPr>
          <w:color w:val="000000" w:themeColor="text1"/>
          <w:lang w:val="et-EE"/>
        </w:rPr>
        <w:t>visiite, konverentse jmt);</w:t>
      </w:r>
    </w:p>
    <w:p w14:paraId="69495D87" w14:textId="77777777" w:rsidR="00037B84" w:rsidRPr="00E602A8" w:rsidRDefault="00E1035F" w:rsidP="00037B84">
      <w:pPr>
        <w:pStyle w:val="NormalWeb"/>
        <w:numPr>
          <w:ilvl w:val="0"/>
          <w:numId w:val="14"/>
        </w:numPr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e</w:t>
      </w:r>
      <w:r w:rsidR="00037B84" w:rsidRPr="00E602A8">
        <w:rPr>
          <w:color w:val="000000" w:themeColor="text1"/>
          <w:lang w:val="et-EE"/>
        </w:rPr>
        <w:t>rialane töökogemus</w:t>
      </w:r>
      <w:r w:rsidRPr="00E602A8">
        <w:rPr>
          <w:color w:val="000000" w:themeColor="text1"/>
          <w:lang w:val="et-EE"/>
        </w:rPr>
        <w:t>, sh eriala õpetamine, praktika juhendamine, tervisedendusealane teadustegevus.</w:t>
      </w:r>
    </w:p>
    <w:p w14:paraId="75938BC1" w14:textId="286BA505" w:rsidR="00084272" w:rsidRPr="00E602A8" w:rsidRDefault="00037B84" w:rsidP="00724DDC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Tervisedendusealase kompetentsuse hindamise aluseks on vormikohane kompetentsipõhine eneseanalüüs (vt lisa 1 Eneseanalüüsi vorm</w:t>
      </w:r>
      <w:r w:rsidRPr="00E602A8">
        <w:rPr>
          <w:i/>
          <w:color w:val="000000" w:themeColor="text1"/>
          <w:lang w:val="et-EE"/>
        </w:rPr>
        <w:t>)</w:t>
      </w:r>
      <w:r w:rsidR="00EF031E" w:rsidRPr="00E602A8">
        <w:rPr>
          <w:i/>
          <w:color w:val="000000" w:themeColor="text1"/>
          <w:lang w:val="et-EE"/>
        </w:rPr>
        <w:t xml:space="preserve"> </w:t>
      </w:r>
      <w:r w:rsidR="00EF031E" w:rsidRPr="00E602A8">
        <w:rPr>
          <w:color w:val="000000" w:themeColor="text1"/>
          <w:lang w:val="et-EE"/>
        </w:rPr>
        <w:t>ja vestlus</w:t>
      </w:r>
      <w:r w:rsidR="00E602A8" w:rsidRPr="00E602A8">
        <w:rPr>
          <w:color w:val="000000" w:themeColor="text1"/>
          <w:lang w:val="et-EE"/>
        </w:rPr>
        <w:t>.</w:t>
      </w:r>
    </w:p>
    <w:p w14:paraId="38656938" w14:textId="77777777" w:rsidR="00CF4553" w:rsidRPr="007F3A94" w:rsidRDefault="00CF4553" w:rsidP="007F3A94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Tervisedendaja</w:t>
      </w:r>
      <w:proofErr w:type="spellEnd"/>
      <w:r w:rsidRPr="007F3A94">
        <w:rPr>
          <w:rFonts w:ascii="Times New Roman" w:eastAsia="Calibri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</w:t>
      </w:r>
      <w:r w:rsidRPr="007F3A94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</w:rPr>
        <w:t>u</w:t>
      </w:r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</w:t>
      </w:r>
      <w:r w:rsidRPr="007F3A94">
        <w:rPr>
          <w:rFonts w:ascii="Times New Roman" w:eastAsia="Calibri" w:hAnsi="Times New Roman" w:cs="Times New Roman"/>
          <w:b/>
          <w:color w:val="000000" w:themeColor="text1"/>
          <w:spacing w:val="1"/>
          <w:sz w:val="24"/>
          <w:szCs w:val="24"/>
        </w:rPr>
        <w:t>s</w:t>
      </w:r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</w:t>
      </w:r>
      <w:proofErr w:type="spellEnd"/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</w:t>
      </w:r>
      <w:r w:rsidRPr="007F3A94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</w:rPr>
        <w:t>d</w:t>
      </w:r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</w:t>
      </w:r>
      <w:r w:rsidRPr="007F3A94">
        <w:rPr>
          <w:rFonts w:ascii="Times New Roman" w:eastAsia="Calibri" w:hAnsi="Times New Roman" w:cs="Times New Roman"/>
          <w:b/>
          <w:color w:val="000000" w:themeColor="text1"/>
          <w:spacing w:val="1"/>
          <w:sz w:val="24"/>
          <w:szCs w:val="24"/>
        </w:rPr>
        <w:t>i</w:t>
      </w:r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</w:t>
      </w:r>
      <w:proofErr w:type="spellEnd"/>
      <w:r w:rsidRPr="007F3A94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kriteeriumid</w:t>
      </w:r>
      <w:proofErr w:type="spellEnd"/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F4553" w:rsidRPr="00E602A8" w14:paraId="6DA344B2" w14:textId="77777777" w:rsidTr="00CF4553">
        <w:tc>
          <w:tcPr>
            <w:tcW w:w="3005" w:type="dxa"/>
          </w:tcPr>
          <w:p w14:paraId="258257CC" w14:textId="77777777" w:rsidR="00CF4553" w:rsidRPr="00E602A8" w:rsidRDefault="00CF4553" w:rsidP="00CF4553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t-EE"/>
              </w:rPr>
            </w:pPr>
          </w:p>
        </w:tc>
        <w:tc>
          <w:tcPr>
            <w:tcW w:w="3005" w:type="dxa"/>
          </w:tcPr>
          <w:p w14:paraId="146EE768" w14:textId="77777777" w:rsidR="00CF4553" w:rsidRPr="00E602A8" w:rsidRDefault="00CF4553" w:rsidP="00CF45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val="et-EE"/>
              </w:rPr>
              <w:t>Dokumentide põhjal hindamine</w:t>
            </w:r>
          </w:p>
        </w:tc>
        <w:tc>
          <w:tcPr>
            <w:tcW w:w="3006" w:type="dxa"/>
          </w:tcPr>
          <w:p w14:paraId="7DB04064" w14:textId="77777777" w:rsidR="00CF4553" w:rsidRPr="00E602A8" w:rsidRDefault="00CF4553" w:rsidP="00CF45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Vestlus</w:t>
            </w:r>
          </w:p>
        </w:tc>
      </w:tr>
      <w:tr w:rsidR="00CF4553" w:rsidRPr="00E602A8" w14:paraId="4135ABEA" w14:textId="77777777" w:rsidTr="00CF4553">
        <w:tc>
          <w:tcPr>
            <w:tcW w:w="3005" w:type="dxa"/>
          </w:tcPr>
          <w:p w14:paraId="2B8F50FC" w14:textId="77777777" w:rsidR="00CF4553" w:rsidRPr="00E602A8" w:rsidRDefault="00CF4553" w:rsidP="00CF4553">
            <w:pPr>
              <w:ind w:left="45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val="et-EE"/>
              </w:rPr>
              <w:t>Kutse andmiseks vajalikud kriteeriumid on täidetud</w:t>
            </w:r>
          </w:p>
          <w:p w14:paraId="342291D0" w14:textId="77777777" w:rsidR="00CF4553" w:rsidRPr="00E602A8" w:rsidRDefault="00CF4553" w:rsidP="00CF4553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t-EE"/>
              </w:rPr>
            </w:pPr>
          </w:p>
        </w:tc>
        <w:tc>
          <w:tcPr>
            <w:tcW w:w="3005" w:type="dxa"/>
          </w:tcPr>
          <w:p w14:paraId="2D40B03B" w14:textId="16B98448" w:rsidR="00CF4553" w:rsidRPr="00E602A8" w:rsidRDefault="00CF4553" w:rsidP="00CF4553">
            <w:pP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t-EE"/>
              </w:rPr>
              <w:t xml:space="preserve">Erialane  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kõrgharidus ja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erialased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täiend</w:t>
            </w:r>
            <w:r w:rsidR="00F635D2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us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koolitused 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on läbitud 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ning erialane töökogemus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on olemas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. Eneseanalüüsi alusel on alltoodud kompetentsid 1-9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tõendatud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006" w:type="dxa"/>
          </w:tcPr>
          <w:p w14:paraId="25B58ED8" w14:textId="66350488" w:rsidR="00CF4553" w:rsidRPr="00E602A8" w:rsidRDefault="00CF4553" w:rsidP="00CF4553">
            <w:pP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Eneseanalüüsi alusel toimunud vestluse järgselt on alltoodud kompetentsid 1-9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saanud tõendatud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  <w:tr w:rsidR="00CF4553" w:rsidRPr="00E602A8" w14:paraId="7A415FD3" w14:textId="77777777" w:rsidTr="00CF4553">
        <w:tc>
          <w:tcPr>
            <w:tcW w:w="3005" w:type="dxa"/>
          </w:tcPr>
          <w:p w14:paraId="431119BB" w14:textId="77777777" w:rsidR="00CF4553" w:rsidRPr="00E602A8" w:rsidRDefault="00CF4553" w:rsidP="00CF4553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val="et-EE"/>
              </w:rPr>
              <w:t>Kutseandmiseks vajalikud kriteeriumid ei ole täidetud</w:t>
            </w:r>
          </w:p>
        </w:tc>
        <w:tc>
          <w:tcPr>
            <w:tcW w:w="3005" w:type="dxa"/>
          </w:tcPr>
          <w:p w14:paraId="02150017" w14:textId="661489AF" w:rsidR="00CF4553" w:rsidRPr="00E602A8" w:rsidRDefault="00037B84" w:rsidP="00CF4553">
            <w:pP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Kõrg</w:t>
            </w:r>
            <w:r w:rsidR="00CF4553" w:rsidRPr="00E602A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t-EE"/>
              </w:rPr>
              <w:t>h</w:t>
            </w:r>
            <w:r w:rsidR="00CF4553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ar</w:t>
            </w:r>
            <w:r w:rsidR="00CF4553" w:rsidRPr="00E602A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t-EE"/>
              </w:rPr>
              <w:t>idu</w:t>
            </w:r>
            <w:r w:rsidR="00CF4553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st ja 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erialaseid </w:t>
            </w:r>
            <w:r w:rsidR="00CF4553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täiend</w:t>
            </w:r>
            <w:r w:rsidR="00F635D2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us</w:t>
            </w:r>
            <w:r w:rsidR="00CF4553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koolitusi ei ole, töökogemus tervisedenduse valdkonnas puudub. Eneseanalüüsi alusel ei ole alltoodud kompetentsid 1-9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tõendatud</w:t>
            </w:r>
            <w:r w:rsidR="00CF4553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006" w:type="dxa"/>
          </w:tcPr>
          <w:p w14:paraId="7AB12E12" w14:textId="654386CC" w:rsidR="00CF4553" w:rsidRPr="00E602A8" w:rsidRDefault="00CF4553" w:rsidP="00CF4553">
            <w:pP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Eneseanalüüsi alusel toimunud vestluse järgselt ei ole alltoodud kompetentsid 1-9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tõendatud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</w:tbl>
    <w:p w14:paraId="3906192A" w14:textId="77777777" w:rsidR="00CF4553" w:rsidRPr="00E602A8" w:rsidRDefault="00CF4553" w:rsidP="00CA1357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</w:p>
    <w:p w14:paraId="3A002F4F" w14:textId="2C0CE12E" w:rsidR="002B63B4" w:rsidRPr="00E602A8" w:rsidRDefault="002B63B4" w:rsidP="002B63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Eneseanalüüsi</w:t>
      </w:r>
      <w:r w:rsidR="00D655FF" w:rsidRPr="00E602A8">
        <w:rPr>
          <w:color w:val="000000" w:themeColor="text1"/>
          <w:lang w:val="et-EE"/>
        </w:rPr>
        <w:t xml:space="preserve"> põhjal</w:t>
      </w:r>
      <w:r w:rsidRPr="00E602A8">
        <w:rPr>
          <w:color w:val="000000" w:themeColor="text1"/>
          <w:lang w:val="et-EE"/>
        </w:rPr>
        <w:t xml:space="preserve"> hinnatakse järgmisi kutsestandardis Tervisedendaja, tase 6 </w:t>
      </w:r>
      <w:r w:rsidR="00037B84" w:rsidRPr="00E602A8">
        <w:rPr>
          <w:color w:val="000000" w:themeColor="text1"/>
          <w:lang w:val="et-EE"/>
        </w:rPr>
        <w:t xml:space="preserve">kirjeldatud </w:t>
      </w:r>
      <w:r w:rsidRPr="00E602A8">
        <w:rPr>
          <w:color w:val="000000" w:themeColor="text1"/>
          <w:lang w:val="et-EE"/>
        </w:rPr>
        <w:t>kohustu</w:t>
      </w:r>
      <w:r w:rsidR="00D655FF" w:rsidRPr="00E602A8">
        <w:rPr>
          <w:color w:val="000000" w:themeColor="text1"/>
          <w:lang w:val="et-EE"/>
        </w:rPr>
        <w:t>s</w:t>
      </w:r>
      <w:r w:rsidRPr="00E602A8">
        <w:rPr>
          <w:color w:val="000000" w:themeColor="text1"/>
          <w:lang w:val="et-EE"/>
        </w:rPr>
        <w:t>likke kompetentse:</w:t>
      </w:r>
    </w:p>
    <w:p w14:paraId="3423B561" w14:textId="656DFBC5" w:rsidR="002B63B4" w:rsidRPr="00E602A8" w:rsidRDefault="002B63B4" w:rsidP="002B63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 xml:space="preserve">1. Tervisttoetavateks muutusteks eelduste ja tingimuste loomine üksikisiku, kogukonna või  ühiskonna tasandil – </w:t>
      </w:r>
      <w:r w:rsidR="00F635D2">
        <w:rPr>
          <w:color w:val="000000" w:themeColor="text1"/>
          <w:lang w:val="et-EE"/>
        </w:rPr>
        <w:t>v</w:t>
      </w:r>
      <w:r w:rsidRPr="00E602A8">
        <w:rPr>
          <w:color w:val="000000" w:themeColor="text1"/>
          <w:lang w:val="et-EE"/>
        </w:rPr>
        <w:t>õimaldab ja soodustab eeldusi ja tingimusi üksikisikutel, gruppidel, organisatsioonidel ja rahvastikul arendada tervist edendavate tegevuste suutlikkust ja võimestumist parandamaks oma tervist ja vähendamaks ebavõrdsust tervises;</w:t>
      </w:r>
    </w:p>
    <w:p w14:paraId="58F20F3F" w14:textId="52E40B75" w:rsidR="002B63B4" w:rsidRPr="00E602A8" w:rsidRDefault="002B63B4" w:rsidP="002B63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2. Tervise eestkoste e. advokeerimine – seisab üksikisikute, gruppide,  organisatsioonide ja rahvastiku tervise eest parandamaks nende heaolu ja tõstmaks suutlik</w:t>
      </w:r>
      <w:r w:rsidR="007F3A94">
        <w:rPr>
          <w:color w:val="000000" w:themeColor="text1"/>
          <w:lang w:val="et-EE"/>
        </w:rPr>
        <w:t>kust tervisedenduse tegevusteks;</w:t>
      </w:r>
    </w:p>
    <w:p w14:paraId="593FC8E4" w14:textId="77777777" w:rsidR="002B63B4" w:rsidRPr="00E602A8" w:rsidRDefault="002B63B4" w:rsidP="002B63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lastRenderedPageBreak/>
        <w:t>3. Koostöö – töötab koos partneritega erinevatest distsipliinidest, sektoritest ja vahendab partnerlust võimaldamaks tervist edendavate tegevuste mõju ja jätkusuutlikkust;</w:t>
      </w:r>
    </w:p>
    <w:p w14:paraId="7F0AA6F8" w14:textId="77777777" w:rsidR="002B63B4" w:rsidRPr="00E602A8" w:rsidRDefault="002B63B4" w:rsidP="002B63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4. Kommunikatsioon – võtab vastu ja levitab tervist edendavate tegevuste ja tervisevaldkonna informatsiooni kasutades erinevates gruppides sobivaid tehnikaid ja tehnoloogiaid;</w:t>
      </w:r>
    </w:p>
    <w:p w14:paraId="56B4779F" w14:textId="77777777" w:rsidR="002B63B4" w:rsidRPr="00E602A8" w:rsidRDefault="002B63B4" w:rsidP="002B63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5. </w:t>
      </w:r>
      <w:r w:rsidRPr="007F3A94">
        <w:rPr>
          <w:bCs/>
          <w:color w:val="000000" w:themeColor="text1"/>
          <w:lang w:val="et-EE"/>
        </w:rPr>
        <w:t>J</w:t>
      </w:r>
      <w:r w:rsidRPr="00E602A8">
        <w:rPr>
          <w:color w:val="000000" w:themeColor="text1"/>
          <w:lang w:val="et-EE"/>
        </w:rPr>
        <w:t>uhtimine</w:t>
      </w:r>
      <w:r w:rsidRPr="00E602A8">
        <w:rPr>
          <w:b/>
          <w:bCs/>
          <w:color w:val="000000" w:themeColor="text1"/>
          <w:lang w:val="et-EE"/>
        </w:rPr>
        <w:t> </w:t>
      </w:r>
      <w:r w:rsidRPr="00E602A8">
        <w:rPr>
          <w:color w:val="000000" w:themeColor="text1"/>
          <w:lang w:val="et-EE"/>
        </w:rPr>
        <w:t>– panustab liidrina tervisedenduses jagatud visiooni arendamisse, strateegiliste suundade väljatöötamisse ja oskuslikku meeskonnatöösse;</w:t>
      </w:r>
    </w:p>
    <w:p w14:paraId="645DEE98" w14:textId="77777777" w:rsidR="002B63B4" w:rsidRPr="00E602A8" w:rsidRDefault="002B63B4" w:rsidP="002B63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6. Vajaduste ja ressursside analüüsimine –  analüüsib partnerluses asjaosalistega vajadusi ja ressursse poliitliste, majanduslike, sotsiaalsete, kultuuriliste, keskkondlike, käitumuslike ja bioloogiliste tervisemõjurite valdkonnas;</w:t>
      </w:r>
    </w:p>
    <w:p w14:paraId="02972346" w14:textId="77777777" w:rsidR="002B63B4" w:rsidRPr="00E602A8" w:rsidRDefault="002B63B4" w:rsidP="002B63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7. Planeerimine  – arendab partnerluses asjaosalistega mõõdetavad tervisedenduse eesmärke, mis põhinevad vajaduste ja ressursside analüüsil;</w:t>
      </w:r>
    </w:p>
    <w:p w14:paraId="7B30F70A" w14:textId="77777777" w:rsidR="002B63B4" w:rsidRPr="00E602A8" w:rsidRDefault="002B63B4" w:rsidP="002B63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8. Tervistedendavate tegevuste elluviimine — viib ellu partnerluses asjaosalistega tulemuslikke ja tõhusaid, kultuuriliselt tundlikke ja eetilisi tervist edendavaid tegevusi;</w:t>
      </w:r>
    </w:p>
    <w:p w14:paraId="208226D5" w14:textId="77777777" w:rsidR="002B63B4" w:rsidRPr="00E602A8" w:rsidRDefault="002B63B4" w:rsidP="002B63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9. Hindamine ja uuringute teostamine – kasutab partnerluses asjaosalistega sobivaid hindamis</w:t>
      </w:r>
      <w:r w:rsidR="00C07861" w:rsidRPr="00E602A8">
        <w:rPr>
          <w:color w:val="000000" w:themeColor="text1"/>
          <w:lang w:val="et-EE"/>
        </w:rPr>
        <w:t>-</w:t>
      </w:r>
      <w:r w:rsidRPr="00E602A8">
        <w:rPr>
          <w:color w:val="000000" w:themeColor="text1"/>
          <w:lang w:val="et-EE"/>
        </w:rPr>
        <w:t xml:space="preserve"> ja uuringumeetodeid määratlemaks tervist edendavate tegevuste ulatust, mõju ja tulemuslikkust.</w:t>
      </w:r>
    </w:p>
    <w:p w14:paraId="1533A443" w14:textId="44A6668A" w:rsidR="00157BBC" w:rsidRPr="00E602A8" w:rsidRDefault="00C07861" w:rsidP="00CA1357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Eneseanalüüsis tuleb kirjeldatud kõikide kohustuslike kompetentsidega seotud tegevusi.</w:t>
      </w:r>
    </w:p>
    <w:p w14:paraId="793151F6" w14:textId="77777777" w:rsidR="00E3764F" w:rsidRPr="00E602A8" w:rsidRDefault="00E3764F" w:rsidP="00CA1357">
      <w:pPr>
        <w:pStyle w:val="NormalWeb"/>
        <w:spacing w:before="0" w:beforeAutospacing="0" w:after="150" w:afterAutospacing="0"/>
        <w:jc w:val="both"/>
        <w:rPr>
          <w:rFonts w:eastAsia="Calibri"/>
          <w:b/>
          <w:lang w:val="et-EE"/>
        </w:rPr>
      </w:pPr>
      <w:r w:rsidRPr="00E602A8">
        <w:rPr>
          <w:b/>
          <w:lang w:val="et-EE"/>
        </w:rPr>
        <w:t>H</w:t>
      </w:r>
      <w:r w:rsidRPr="00E602A8">
        <w:rPr>
          <w:rFonts w:eastAsia="Calibri"/>
          <w:b/>
          <w:lang w:val="et-EE"/>
        </w:rPr>
        <w:t>indamisülesannete kirjeldus</w:t>
      </w:r>
    </w:p>
    <w:p w14:paraId="74225056" w14:textId="1154FAFD" w:rsidR="00157BBC" w:rsidRPr="00E602A8" w:rsidRDefault="00E435E7" w:rsidP="00E435E7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u w:val="single"/>
          <w:lang w:val="et-EE"/>
        </w:rPr>
        <w:t>H</w:t>
      </w:r>
      <w:r w:rsidR="00157BBC" w:rsidRPr="00E602A8">
        <w:rPr>
          <w:color w:val="000000" w:themeColor="text1"/>
          <w:u w:val="single"/>
          <w:lang w:val="et-EE"/>
        </w:rPr>
        <w:t>indamine</w:t>
      </w:r>
      <w:r w:rsidRPr="00E602A8">
        <w:rPr>
          <w:color w:val="000000" w:themeColor="text1"/>
          <w:u w:val="single"/>
          <w:lang w:val="et-EE"/>
        </w:rPr>
        <w:t xml:space="preserve"> </w:t>
      </w:r>
      <w:r w:rsidR="00E1035F" w:rsidRPr="00E602A8">
        <w:rPr>
          <w:color w:val="000000" w:themeColor="text1"/>
          <w:u w:val="single"/>
          <w:lang w:val="et-EE"/>
        </w:rPr>
        <w:t xml:space="preserve">eneseanalüüsi </w:t>
      </w:r>
      <w:r w:rsidRPr="00E602A8">
        <w:rPr>
          <w:color w:val="000000" w:themeColor="text1"/>
          <w:u w:val="single"/>
          <w:lang w:val="et-EE"/>
        </w:rPr>
        <w:t>alusel</w:t>
      </w:r>
      <w:r w:rsidR="002B63B4" w:rsidRPr="00E602A8">
        <w:rPr>
          <w:color w:val="000000" w:themeColor="text1"/>
          <w:u w:val="single"/>
          <w:lang w:val="et-EE"/>
        </w:rPr>
        <w:t xml:space="preserve">: </w:t>
      </w:r>
      <w:r w:rsidR="00157BBC" w:rsidRPr="00E602A8">
        <w:rPr>
          <w:color w:val="000000" w:themeColor="text1"/>
          <w:lang w:val="et-EE"/>
        </w:rPr>
        <w:t>Hindaja</w:t>
      </w:r>
      <w:r w:rsidR="00E602A8">
        <w:rPr>
          <w:color w:val="000000" w:themeColor="text1"/>
          <w:lang w:val="et-EE"/>
        </w:rPr>
        <w:t xml:space="preserve"> hindab  taotleja eneseanalüüsi vastavalt hindamisvormile.</w:t>
      </w:r>
    </w:p>
    <w:p w14:paraId="6370EAC0" w14:textId="3A0CBF20" w:rsidR="00157BBC" w:rsidRPr="00E602A8" w:rsidRDefault="002B63B4" w:rsidP="00157BBC">
      <w:pPr>
        <w:pStyle w:val="NormalWeb"/>
        <w:spacing w:before="0" w:beforeAutospacing="0" w:after="150" w:afterAutospacing="0"/>
        <w:jc w:val="both"/>
        <w:rPr>
          <w:color w:val="000000" w:themeColor="text1"/>
          <w:u w:val="single"/>
          <w:lang w:val="et-EE"/>
        </w:rPr>
      </w:pPr>
      <w:r w:rsidRPr="00E602A8">
        <w:rPr>
          <w:color w:val="000000" w:themeColor="text1"/>
          <w:u w:val="single"/>
          <w:lang w:val="et-EE"/>
        </w:rPr>
        <w:t>Hindamine vestluse alusel:</w:t>
      </w:r>
      <w:r w:rsidR="006E169E" w:rsidRPr="00E602A8">
        <w:rPr>
          <w:color w:val="000000" w:themeColor="text1"/>
          <w:u w:val="single"/>
          <w:lang w:val="et-EE"/>
        </w:rPr>
        <w:t xml:space="preserve"> </w:t>
      </w:r>
      <w:r w:rsidRPr="00E602A8">
        <w:rPr>
          <w:color w:val="000000" w:themeColor="text1"/>
          <w:lang w:val="et-EE"/>
        </w:rPr>
        <w:t xml:space="preserve"> </w:t>
      </w:r>
      <w:r w:rsidR="00157BBC" w:rsidRPr="00E602A8">
        <w:rPr>
          <w:color w:val="000000" w:themeColor="text1"/>
          <w:lang w:val="et-EE"/>
        </w:rPr>
        <w:t xml:space="preserve">Vestluse aluseks on taotleja eneseanalüüs. Vestlusel esitatakse täiendavaid küsimusi, et välja selgitada kutse taotleja teadmised ja oskused neis valdkondades, mille osas </w:t>
      </w:r>
      <w:r w:rsidR="00E1035F" w:rsidRPr="00E602A8">
        <w:rPr>
          <w:color w:val="000000" w:themeColor="text1"/>
          <w:lang w:val="et-EE"/>
        </w:rPr>
        <w:t>taotleja pädevus</w:t>
      </w:r>
      <w:r w:rsidR="00E1035F" w:rsidRPr="00E602A8" w:rsidDel="00E1035F">
        <w:rPr>
          <w:color w:val="000000" w:themeColor="text1"/>
          <w:lang w:val="et-EE"/>
        </w:rPr>
        <w:t xml:space="preserve"> </w:t>
      </w:r>
      <w:r w:rsidR="00E1035F" w:rsidRPr="00E602A8">
        <w:rPr>
          <w:color w:val="000000" w:themeColor="text1"/>
          <w:lang w:val="et-EE"/>
        </w:rPr>
        <w:t>jäi</w:t>
      </w:r>
      <w:r w:rsidR="00E1035F" w:rsidRPr="00E602A8" w:rsidDel="00E1035F">
        <w:rPr>
          <w:color w:val="000000" w:themeColor="text1"/>
          <w:lang w:val="et-EE"/>
        </w:rPr>
        <w:t xml:space="preserve"> </w:t>
      </w:r>
      <w:r w:rsidR="00E1035F" w:rsidRPr="00E602A8">
        <w:rPr>
          <w:color w:val="000000" w:themeColor="text1"/>
          <w:lang w:val="et-EE"/>
        </w:rPr>
        <w:t xml:space="preserve">hindajatele </w:t>
      </w:r>
      <w:r w:rsidR="00157BBC" w:rsidRPr="00E602A8">
        <w:rPr>
          <w:color w:val="000000" w:themeColor="text1"/>
          <w:lang w:val="et-EE"/>
        </w:rPr>
        <w:t>kirjalikust aruande</w:t>
      </w:r>
      <w:r w:rsidRPr="00E602A8">
        <w:rPr>
          <w:color w:val="000000" w:themeColor="text1"/>
          <w:lang w:val="et-EE"/>
        </w:rPr>
        <w:t xml:space="preserve">st ebaselgeks. </w:t>
      </w:r>
    </w:p>
    <w:p w14:paraId="7DEABD29" w14:textId="53CBAEEA" w:rsidR="002B63B4" w:rsidRPr="00E602A8" w:rsidRDefault="002B63B4" w:rsidP="002B63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 xml:space="preserve">Hindaja </w:t>
      </w:r>
      <w:r w:rsidR="007B432E" w:rsidRPr="00E602A8">
        <w:rPr>
          <w:color w:val="000000" w:themeColor="text1"/>
          <w:lang w:val="et-EE"/>
        </w:rPr>
        <w:t xml:space="preserve">märgib </w:t>
      </w:r>
      <w:r w:rsidRPr="00E602A8">
        <w:rPr>
          <w:color w:val="000000" w:themeColor="text1"/>
          <w:lang w:val="et-EE"/>
        </w:rPr>
        <w:t>mõlema etapi hind</w:t>
      </w:r>
      <w:r w:rsidR="006E169E" w:rsidRPr="00E602A8">
        <w:rPr>
          <w:color w:val="000000" w:themeColor="text1"/>
          <w:lang w:val="et-EE"/>
        </w:rPr>
        <w:t>am</w:t>
      </w:r>
      <w:r w:rsidRPr="00E602A8">
        <w:rPr>
          <w:color w:val="000000" w:themeColor="text1"/>
          <w:lang w:val="et-EE"/>
        </w:rPr>
        <w:t>isel hindamisvormi (</w:t>
      </w:r>
      <w:r w:rsidR="006E169E" w:rsidRPr="00E602A8">
        <w:rPr>
          <w:color w:val="000000" w:themeColor="text1"/>
          <w:lang w:val="et-EE"/>
        </w:rPr>
        <w:t>Eneseanalüüsi hindamise vorm</w:t>
      </w:r>
      <w:r w:rsidR="002635CF">
        <w:rPr>
          <w:color w:val="000000" w:themeColor="text1"/>
          <w:lang w:val="et-EE"/>
        </w:rPr>
        <w:t xml:space="preserve"> Lisa 1</w:t>
      </w:r>
      <w:r w:rsidR="009B0D76" w:rsidRPr="00E602A8">
        <w:rPr>
          <w:color w:val="000000" w:themeColor="text1"/>
          <w:lang w:val="et-EE"/>
        </w:rPr>
        <w:t>,</w:t>
      </w:r>
      <w:r w:rsidR="006E169E" w:rsidRPr="00E602A8">
        <w:rPr>
          <w:color w:val="000000" w:themeColor="text1"/>
          <w:lang w:val="et-EE"/>
        </w:rPr>
        <w:t xml:space="preserve"> </w:t>
      </w:r>
      <w:r w:rsidR="002635CF">
        <w:rPr>
          <w:color w:val="000000" w:themeColor="text1"/>
          <w:lang w:val="et-EE"/>
        </w:rPr>
        <w:t>Vestluse hindamise vorm lisa</w:t>
      </w:r>
      <w:r w:rsidR="006E169E" w:rsidRPr="00E602A8">
        <w:rPr>
          <w:color w:val="000000" w:themeColor="text1"/>
          <w:lang w:val="et-EE"/>
        </w:rPr>
        <w:t xml:space="preserve"> 2</w:t>
      </w:r>
      <w:r w:rsidRPr="00E602A8">
        <w:rPr>
          <w:color w:val="000000" w:themeColor="text1"/>
          <w:lang w:val="et-EE"/>
        </w:rPr>
        <w:t>) vastavalt „täidetud“ või „mitte täidetud“ ning vajadusel lisab kommentaari. Hindaja lähtub hindamisel kutsestandardist</w:t>
      </w:r>
      <w:r w:rsidR="007F3A94">
        <w:rPr>
          <w:color w:val="000000" w:themeColor="text1"/>
          <w:lang w:val="et-EE"/>
        </w:rPr>
        <w:t>.</w:t>
      </w:r>
      <w:r w:rsidRPr="00E602A8">
        <w:rPr>
          <w:color w:val="000000" w:themeColor="text1"/>
          <w:lang w:val="et-EE"/>
        </w:rPr>
        <w:t xml:space="preserve"> Kommentaari kirjutamine on kohustuslik siis, kui kriteerium hinnatakse „mitte täidetud.“ </w:t>
      </w:r>
    </w:p>
    <w:p w14:paraId="743B1F58" w14:textId="2044CA96" w:rsidR="00FF226E" w:rsidRPr="00E90EDA" w:rsidRDefault="002635CF" w:rsidP="00CA1357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Taastõendamisel rakend</w:t>
      </w:r>
      <w:r w:rsidR="00E90EDA">
        <w:rPr>
          <w:color w:val="000000" w:themeColor="text1"/>
          <w:lang w:val="et-EE"/>
        </w:rPr>
        <w:t>atakse hindamisel samu hindamisvorme (E</w:t>
      </w:r>
      <w:r>
        <w:rPr>
          <w:color w:val="000000" w:themeColor="text1"/>
          <w:lang w:val="et-EE"/>
        </w:rPr>
        <w:t>neseanalüüsi hindamise vorm Lisa 2 ning vajadusel Vestluse hindamise vorm Lisa 3), lähtudes taotleja poolt es</w:t>
      </w:r>
      <w:r w:rsidR="00E90EDA">
        <w:rPr>
          <w:color w:val="000000" w:themeColor="text1"/>
          <w:lang w:val="et-EE"/>
        </w:rPr>
        <w:t>i</w:t>
      </w:r>
      <w:r>
        <w:rPr>
          <w:color w:val="000000" w:themeColor="text1"/>
          <w:lang w:val="et-EE"/>
        </w:rPr>
        <w:t>tatud</w:t>
      </w:r>
      <w:r w:rsidR="00E90EDA">
        <w:rPr>
          <w:color w:val="000000" w:themeColor="text1"/>
          <w:lang w:val="et-EE"/>
        </w:rPr>
        <w:t xml:space="preserve"> </w:t>
      </w:r>
      <w:r w:rsidR="00E90EDA" w:rsidRPr="00E90EDA">
        <w:rPr>
          <w:color w:val="000000" w:themeColor="text1"/>
          <w:lang w:val="et-EE"/>
        </w:rPr>
        <w:t>tööalase tegevuse profiili, töö tulemuslikkuse ja arendustegevuste kirjeldus</w:t>
      </w:r>
      <w:r w:rsidR="00E90EDA">
        <w:rPr>
          <w:color w:val="000000" w:themeColor="text1"/>
          <w:lang w:val="et-EE"/>
        </w:rPr>
        <w:t>est</w:t>
      </w:r>
      <w:r w:rsidR="00E90EDA" w:rsidRPr="00E90EDA">
        <w:rPr>
          <w:color w:val="000000" w:themeColor="text1"/>
          <w:lang w:val="et-EE"/>
        </w:rPr>
        <w:t xml:space="preserve"> taastõendamisele eelneva 5 aasta jooksul ning erialase tegevuse perspektiiv</w:t>
      </w:r>
      <w:r w:rsidR="00E90EDA">
        <w:rPr>
          <w:color w:val="000000" w:themeColor="text1"/>
          <w:lang w:val="et-EE"/>
        </w:rPr>
        <w:t>i kirjeldusest.</w:t>
      </w:r>
    </w:p>
    <w:p w14:paraId="083B45A2" w14:textId="62321030" w:rsidR="00E90EDA" w:rsidRDefault="00E90EDA" w:rsidP="00E90EDA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Taastõendamise</w:t>
      </w:r>
      <w:r>
        <w:rPr>
          <w:color w:val="000000" w:themeColor="text1"/>
          <w:lang w:val="et-EE"/>
        </w:rPr>
        <w:t>l</w:t>
      </w:r>
      <w:r w:rsidRPr="00E602A8">
        <w:rPr>
          <w:color w:val="000000" w:themeColor="text1"/>
          <w:lang w:val="et-EE"/>
        </w:rPr>
        <w:t xml:space="preserve"> taotleja t</w:t>
      </w:r>
      <w:r>
        <w:rPr>
          <w:color w:val="000000" w:themeColor="text1"/>
          <w:lang w:val="et-EE"/>
        </w:rPr>
        <w:t>öötab tervisedenduse valdkonnas</w:t>
      </w:r>
      <w:r w:rsidRPr="00E602A8">
        <w:rPr>
          <w:color w:val="000000" w:themeColor="text1"/>
          <w:lang w:val="et-EE"/>
        </w:rPr>
        <w:t xml:space="preserve"> </w:t>
      </w:r>
      <w:r>
        <w:rPr>
          <w:color w:val="000000" w:themeColor="text1"/>
          <w:lang w:val="et-EE"/>
        </w:rPr>
        <w:t xml:space="preserve">soovitavalt </w:t>
      </w:r>
      <w:r w:rsidRPr="00E602A8">
        <w:rPr>
          <w:color w:val="000000" w:themeColor="text1"/>
          <w:lang w:val="et-EE"/>
        </w:rPr>
        <w:t>vähemalt pooles ulatuses vastavalt kutse</w:t>
      </w:r>
      <w:r>
        <w:rPr>
          <w:color w:val="000000" w:themeColor="text1"/>
          <w:lang w:val="et-EE"/>
        </w:rPr>
        <w:t xml:space="preserve">standardis toodud funktsioonidele, </w:t>
      </w:r>
      <w:r w:rsidRPr="00E602A8">
        <w:rPr>
          <w:color w:val="000000" w:themeColor="text1"/>
          <w:lang w:val="et-EE"/>
        </w:rPr>
        <w:t>täiendab end aktiivselt ja järjepidevalt ning suudab demonstreerida oma tegevuse arengut</w:t>
      </w:r>
      <w:r w:rsidR="00F635D2">
        <w:rPr>
          <w:color w:val="000000" w:themeColor="text1"/>
          <w:lang w:val="et-EE"/>
        </w:rPr>
        <w:t>.</w:t>
      </w:r>
      <w:r>
        <w:rPr>
          <w:color w:val="000000" w:themeColor="text1"/>
          <w:lang w:val="et-EE"/>
        </w:rPr>
        <w:t xml:space="preserve"> </w:t>
      </w:r>
      <w:r w:rsidR="00F635D2">
        <w:rPr>
          <w:color w:val="000000" w:themeColor="text1"/>
          <w:lang w:val="et-EE"/>
        </w:rPr>
        <w:t>T</w:t>
      </w:r>
      <w:r>
        <w:rPr>
          <w:color w:val="000000" w:themeColor="text1"/>
          <w:lang w:val="et-EE"/>
        </w:rPr>
        <w:t>ema töö o</w:t>
      </w:r>
      <w:r w:rsidRPr="00E602A8">
        <w:rPr>
          <w:color w:val="000000" w:themeColor="text1"/>
          <w:lang w:val="et-EE"/>
        </w:rPr>
        <w:t>n kooskõlas tervisedendaja kutsestandardi ja tervisedenduse eetiliste põhimõtetega</w:t>
      </w:r>
      <w:r w:rsidR="00C22774">
        <w:rPr>
          <w:color w:val="000000" w:themeColor="text1"/>
          <w:lang w:val="et-EE"/>
        </w:rPr>
        <w:t xml:space="preserve"> ning tema tegevus eneseanalüüsis toodud osades 1-9 saab kinnitatud</w:t>
      </w:r>
      <w:r w:rsidRPr="00E602A8">
        <w:rPr>
          <w:color w:val="000000" w:themeColor="text1"/>
          <w:lang w:val="et-EE"/>
        </w:rPr>
        <w:t>.</w:t>
      </w:r>
    </w:p>
    <w:p w14:paraId="1B2E65E9" w14:textId="77777777" w:rsidR="00E3764F" w:rsidRPr="00E602A8" w:rsidRDefault="00E3764F" w:rsidP="00CA1357">
      <w:pPr>
        <w:pStyle w:val="NormalWeb"/>
        <w:spacing w:before="0" w:beforeAutospacing="0" w:after="150" w:afterAutospacing="0"/>
        <w:jc w:val="both"/>
        <w:rPr>
          <w:b/>
          <w:lang w:val="et-EE"/>
        </w:rPr>
      </w:pPr>
      <w:r w:rsidRPr="00E602A8">
        <w:rPr>
          <w:rFonts w:eastAsia="Calibri"/>
          <w:b/>
          <w:lang w:val="et-EE"/>
        </w:rPr>
        <w:t>H</w:t>
      </w:r>
      <w:r w:rsidRPr="00E602A8">
        <w:rPr>
          <w:b/>
          <w:lang w:val="et-EE"/>
        </w:rPr>
        <w:t>indamise meetodid ja nende kirjeldus</w:t>
      </w:r>
    </w:p>
    <w:p w14:paraId="5E0867B2" w14:textId="77777777" w:rsidR="00FF226E" w:rsidRPr="00E602A8" w:rsidRDefault="00FF226E" w:rsidP="00FF226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602A8">
        <w:rPr>
          <w:rFonts w:ascii="Times New Roman" w:hAnsi="Times New Roman" w:cs="Times New Roman"/>
          <w:sz w:val="24"/>
          <w:szCs w:val="24"/>
          <w:lang w:val="et-EE"/>
        </w:rPr>
        <w:t xml:space="preserve">Kutse </w:t>
      </w:r>
      <w:r w:rsidRPr="00E602A8">
        <w:rPr>
          <w:rFonts w:ascii="Times New Roman" w:hAnsi="Times New Roman" w:cs="Times New Roman"/>
          <w:b/>
          <w:sz w:val="24"/>
          <w:szCs w:val="24"/>
          <w:lang w:val="et-EE"/>
        </w:rPr>
        <w:t>tervisedendaja, tase 6</w:t>
      </w:r>
      <w:r w:rsidRPr="00E602A8">
        <w:rPr>
          <w:rFonts w:ascii="Times New Roman" w:hAnsi="Times New Roman" w:cs="Times New Roman"/>
          <w:sz w:val="24"/>
          <w:szCs w:val="24"/>
          <w:lang w:val="et-EE"/>
        </w:rPr>
        <w:t xml:space="preserve"> kompetentsuse hindamisviisid:</w:t>
      </w:r>
    </w:p>
    <w:p w14:paraId="037EFF85" w14:textId="7F0CC76F" w:rsidR="00FF226E" w:rsidRPr="00E602A8" w:rsidRDefault="00FF226E" w:rsidP="00FF226E">
      <w:pPr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1. Hindamine </w:t>
      </w:r>
      <w:r w:rsidR="009A2533" w:rsidRP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t xml:space="preserve">eneseanalüüsi </w:t>
      </w:r>
      <w:r w:rsidRP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t>põhjal</w:t>
      </w:r>
      <w:r w:rsidR="007F3A94">
        <w:rPr>
          <w:rFonts w:ascii="Times New Roman" w:eastAsia="Calibri" w:hAnsi="Times New Roman" w:cs="Times New Roman"/>
          <w:b/>
          <w:sz w:val="24"/>
          <w:szCs w:val="24"/>
          <w:lang w:val="et-EE"/>
        </w:rPr>
        <w:t>.</w:t>
      </w:r>
    </w:p>
    <w:p w14:paraId="1C9D24F0" w14:textId="0CD7547A" w:rsidR="00FF226E" w:rsidRPr="002635CF" w:rsidRDefault="00FF226E" w:rsidP="002635CF">
      <w:pPr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2. Hindamine </w:t>
      </w:r>
      <w:r w:rsidRPr="002635CF">
        <w:rPr>
          <w:rFonts w:ascii="Times New Roman" w:eastAsia="Calibri" w:hAnsi="Times New Roman" w:cs="Times New Roman"/>
          <w:b/>
          <w:sz w:val="24"/>
          <w:szCs w:val="24"/>
          <w:lang w:val="et-EE"/>
        </w:rPr>
        <w:t>vestluse põhjal.</w:t>
      </w:r>
    </w:p>
    <w:p w14:paraId="539ECACD" w14:textId="7722CA37" w:rsidR="002B63B4" w:rsidRPr="00E602A8" w:rsidRDefault="002635CF" w:rsidP="00157BBC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u w:val="single"/>
          <w:lang w:val="et-EE"/>
        </w:rPr>
        <w:t xml:space="preserve">1. </w:t>
      </w:r>
      <w:r w:rsidR="002B63B4" w:rsidRPr="00E602A8">
        <w:rPr>
          <w:color w:val="000000" w:themeColor="text1"/>
          <w:u w:val="single"/>
          <w:lang w:val="et-EE"/>
        </w:rPr>
        <w:t>H</w:t>
      </w:r>
      <w:r>
        <w:rPr>
          <w:color w:val="000000" w:themeColor="text1"/>
          <w:u w:val="single"/>
          <w:lang w:val="et-EE"/>
        </w:rPr>
        <w:t>indamine eneseanalüüsi</w:t>
      </w:r>
      <w:r w:rsidR="002B63B4" w:rsidRPr="00E602A8">
        <w:rPr>
          <w:color w:val="000000" w:themeColor="text1"/>
          <w:u w:val="single"/>
          <w:lang w:val="et-EE"/>
        </w:rPr>
        <w:t xml:space="preserve"> põhjal.</w:t>
      </w:r>
      <w:r w:rsidR="002B63B4" w:rsidRPr="00E602A8">
        <w:rPr>
          <w:color w:val="000000" w:themeColor="text1"/>
          <w:lang w:val="et-EE"/>
        </w:rPr>
        <w:t xml:space="preserve"> </w:t>
      </w:r>
    </w:p>
    <w:p w14:paraId="0DD6FC7B" w14:textId="63F22C85" w:rsidR="00157BBC" w:rsidRPr="00E602A8" w:rsidRDefault="002B63B4" w:rsidP="00157BBC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lastRenderedPageBreak/>
        <w:t>H</w:t>
      </w:r>
      <w:r w:rsidR="00157BBC" w:rsidRPr="00E602A8">
        <w:rPr>
          <w:color w:val="000000" w:themeColor="text1"/>
          <w:lang w:val="et-EE"/>
        </w:rPr>
        <w:t xml:space="preserve">indamiskomisjoni liikmed hindavad taotleja poolt esitatud eneseanalüüsi </w:t>
      </w:r>
      <w:r w:rsidR="00CD6614">
        <w:rPr>
          <w:color w:val="000000" w:themeColor="text1"/>
          <w:lang w:val="et-EE"/>
        </w:rPr>
        <w:t xml:space="preserve"> </w:t>
      </w:r>
      <w:r w:rsidR="00157BBC" w:rsidRPr="00E602A8">
        <w:rPr>
          <w:color w:val="000000" w:themeColor="text1"/>
          <w:lang w:val="et-EE"/>
        </w:rPr>
        <w:t>(</w:t>
      </w:r>
      <w:r w:rsidR="006E169E" w:rsidRPr="00E602A8">
        <w:rPr>
          <w:color w:val="000000" w:themeColor="text1"/>
          <w:lang w:val="et-EE"/>
        </w:rPr>
        <w:t>Enesenalüüsi vorm taotlejale</w:t>
      </w:r>
      <w:r w:rsidR="009A2533" w:rsidRPr="00E602A8">
        <w:rPr>
          <w:color w:val="000000" w:themeColor="text1"/>
          <w:lang w:val="et-EE"/>
        </w:rPr>
        <w:t>,</w:t>
      </w:r>
      <w:r w:rsidR="006E169E" w:rsidRPr="00E602A8">
        <w:rPr>
          <w:color w:val="000000" w:themeColor="text1"/>
          <w:lang w:val="et-EE"/>
        </w:rPr>
        <w:t xml:space="preserve"> </w:t>
      </w:r>
      <w:r w:rsidR="00157BBC" w:rsidRPr="00E602A8">
        <w:rPr>
          <w:color w:val="000000" w:themeColor="text1"/>
          <w:lang w:val="et-EE"/>
        </w:rPr>
        <w:t>lisa 1) põhjal tema kompetentside vastavust</w:t>
      </w:r>
      <w:r w:rsidR="009A2533" w:rsidRPr="00E602A8">
        <w:rPr>
          <w:color w:val="000000" w:themeColor="text1"/>
          <w:lang w:val="et-EE"/>
        </w:rPr>
        <w:t xml:space="preserve"> kutsestandardis kirjeldatud kompetentsusnõuetele</w:t>
      </w:r>
      <w:r w:rsidR="00157BBC" w:rsidRPr="00E602A8">
        <w:rPr>
          <w:color w:val="000000" w:themeColor="text1"/>
          <w:lang w:val="et-EE"/>
        </w:rPr>
        <w:t xml:space="preserve"> </w:t>
      </w:r>
      <w:r w:rsidR="00911444" w:rsidRPr="00E602A8">
        <w:rPr>
          <w:color w:val="000000" w:themeColor="text1"/>
          <w:lang w:val="et-EE"/>
        </w:rPr>
        <w:t>(</w:t>
      </w:r>
      <w:r w:rsidR="006E169E" w:rsidRPr="00E602A8">
        <w:rPr>
          <w:color w:val="000000" w:themeColor="text1"/>
          <w:lang w:val="et-EE"/>
        </w:rPr>
        <w:t xml:space="preserve">Eneseanalüüsi </w:t>
      </w:r>
      <w:r w:rsidR="00911444" w:rsidRPr="00E602A8">
        <w:rPr>
          <w:color w:val="000000" w:themeColor="text1"/>
          <w:lang w:val="et-EE"/>
        </w:rPr>
        <w:t>hindamisvorm</w:t>
      </w:r>
      <w:r w:rsidR="009A2533" w:rsidRPr="00E602A8">
        <w:rPr>
          <w:color w:val="000000" w:themeColor="text1"/>
          <w:lang w:val="et-EE"/>
        </w:rPr>
        <w:t>,</w:t>
      </w:r>
      <w:r w:rsidR="007F3A94">
        <w:rPr>
          <w:color w:val="000000" w:themeColor="text1"/>
          <w:lang w:val="et-EE"/>
        </w:rPr>
        <w:t xml:space="preserve"> lisa 1</w:t>
      </w:r>
      <w:r w:rsidR="00157BBC" w:rsidRPr="00E602A8">
        <w:rPr>
          <w:color w:val="000000" w:themeColor="text1"/>
          <w:lang w:val="et-EE"/>
        </w:rPr>
        <w:t xml:space="preserve">).  </w:t>
      </w:r>
      <w:r w:rsidR="009A2533" w:rsidRPr="00E602A8">
        <w:rPr>
          <w:color w:val="000000" w:themeColor="text1"/>
          <w:lang w:val="et-EE"/>
        </w:rPr>
        <w:t>E</w:t>
      </w:r>
      <w:r w:rsidR="00911444" w:rsidRPr="00E602A8">
        <w:rPr>
          <w:color w:val="000000" w:themeColor="text1"/>
          <w:lang w:val="et-EE"/>
        </w:rPr>
        <w:t xml:space="preserve">neseanalüüs peab </w:t>
      </w:r>
      <w:r w:rsidR="002635CF">
        <w:rPr>
          <w:color w:val="000000" w:themeColor="text1"/>
          <w:lang w:val="et-EE"/>
        </w:rPr>
        <w:t xml:space="preserve">soovitavalt </w:t>
      </w:r>
      <w:r w:rsidR="00911444" w:rsidRPr="00E602A8">
        <w:rPr>
          <w:color w:val="000000" w:themeColor="text1"/>
          <w:lang w:val="et-EE"/>
        </w:rPr>
        <w:t>käsitlema taotleja viimase viie aasta tegevusi.</w:t>
      </w:r>
    </w:p>
    <w:p w14:paraId="0BA0C4A4" w14:textId="35AB4F67" w:rsidR="00157BBC" w:rsidRPr="00E602A8" w:rsidRDefault="00E90EDA" w:rsidP="00157BBC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 xml:space="preserve">Taastõendamisel lähtutakse taotleja poolt esitatud </w:t>
      </w:r>
      <w:r w:rsidRPr="00E90EDA">
        <w:rPr>
          <w:color w:val="000000" w:themeColor="text1"/>
          <w:lang w:val="et-EE"/>
        </w:rPr>
        <w:t>tööalase tegevuse profiili, töö tulemuslikkuse ja arendustegevuste kirjeldus</w:t>
      </w:r>
      <w:r>
        <w:rPr>
          <w:color w:val="000000" w:themeColor="text1"/>
          <w:lang w:val="et-EE"/>
        </w:rPr>
        <w:t>est</w:t>
      </w:r>
      <w:r w:rsidRPr="00E90EDA">
        <w:rPr>
          <w:color w:val="000000" w:themeColor="text1"/>
          <w:lang w:val="et-EE"/>
        </w:rPr>
        <w:t xml:space="preserve"> taastõendamisele eelneva 5 aasta jooksul ning erialase tegevuse perspektiiv</w:t>
      </w:r>
      <w:r>
        <w:rPr>
          <w:color w:val="000000" w:themeColor="text1"/>
          <w:lang w:val="et-EE"/>
        </w:rPr>
        <w:t>i kirjeldusest. Hindamiskomisjon otsustab dokumentide analüüsi järgselt, kas on vajalik</w:t>
      </w:r>
      <w:r w:rsidR="00F635D2">
        <w:rPr>
          <w:color w:val="000000" w:themeColor="text1"/>
          <w:lang w:val="et-EE"/>
        </w:rPr>
        <w:t xml:space="preserve"> </w:t>
      </w:r>
      <w:r>
        <w:rPr>
          <w:color w:val="000000" w:themeColor="text1"/>
          <w:lang w:val="et-EE"/>
        </w:rPr>
        <w:t>kutsuda  kutse taastõendamist taotleda soovija vestluse etappi.</w:t>
      </w:r>
    </w:p>
    <w:p w14:paraId="31A485C5" w14:textId="36EB60C4" w:rsidR="002B63B4" w:rsidRPr="00E602A8" w:rsidRDefault="002635CF" w:rsidP="002635CF">
      <w:pPr>
        <w:pStyle w:val="NormalWeb"/>
        <w:numPr>
          <w:ilvl w:val="0"/>
          <w:numId w:val="2"/>
        </w:numPr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u w:val="single"/>
          <w:lang w:val="et-EE"/>
        </w:rPr>
        <w:t>Hindamine vestluse põhjal</w:t>
      </w:r>
      <w:r w:rsidR="00157BBC" w:rsidRPr="00E602A8">
        <w:rPr>
          <w:color w:val="000000" w:themeColor="text1"/>
          <w:lang w:val="et-EE"/>
        </w:rPr>
        <w:t xml:space="preserve">. </w:t>
      </w:r>
    </w:p>
    <w:p w14:paraId="7A56E68C" w14:textId="77777777" w:rsidR="002635CF" w:rsidRPr="00E602A8" w:rsidRDefault="002635CF" w:rsidP="002635CF">
      <w:pPr>
        <w:pStyle w:val="ListParagraph"/>
        <w:numPr>
          <w:ilvl w:val="4"/>
          <w:numId w:val="2"/>
        </w:numPr>
        <w:suppressAutoHyphens w:val="0"/>
        <w:ind w:left="810" w:hanging="450"/>
        <w:jc w:val="both"/>
        <w:rPr>
          <w:rFonts w:eastAsia="Calibri"/>
        </w:rPr>
      </w:pPr>
      <w:r w:rsidRPr="00E602A8">
        <w:rPr>
          <w:rFonts w:eastAsia="Calibri"/>
        </w:rPr>
        <w:t>Vestlus toimub taotleja ja hindamiskomisjoni liikmete vahel, aluseks on eneseanalüüs;</w:t>
      </w:r>
    </w:p>
    <w:p w14:paraId="72D78BFB" w14:textId="77777777" w:rsidR="002635CF" w:rsidRPr="00E602A8" w:rsidRDefault="002635CF" w:rsidP="002635CF">
      <w:pPr>
        <w:pStyle w:val="ListParagraph"/>
        <w:numPr>
          <w:ilvl w:val="4"/>
          <w:numId w:val="2"/>
        </w:numPr>
        <w:suppressAutoHyphens w:val="0"/>
        <w:ind w:left="810" w:hanging="450"/>
        <w:jc w:val="both"/>
        <w:rPr>
          <w:rFonts w:eastAsia="Calibri"/>
        </w:rPr>
      </w:pPr>
      <w:r w:rsidRPr="00E602A8">
        <w:rPr>
          <w:rFonts w:eastAsia="Calibri"/>
        </w:rPr>
        <w:t>Vestlust hinnatakse vastavalt vestluse hindamislehele (hindamisstandardis);</w:t>
      </w:r>
    </w:p>
    <w:p w14:paraId="52221797" w14:textId="7EEC0EEC" w:rsidR="002635CF" w:rsidRDefault="002635CF" w:rsidP="002635CF">
      <w:pPr>
        <w:pStyle w:val="ListParagraph"/>
        <w:numPr>
          <w:ilvl w:val="4"/>
          <w:numId w:val="2"/>
        </w:numPr>
        <w:suppressAutoHyphens w:val="0"/>
        <w:ind w:left="810" w:hanging="450"/>
        <w:jc w:val="both"/>
        <w:rPr>
          <w:rFonts w:eastAsia="Calibri"/>
        </w:rPr>
      </w:pPr>
      <w:r w:rsidRPr="00E602A8">
        <w:rPr>
          <w:rFonts w:eastAsia="Calibri"/>
        </w:rPr>
        <w:t>Taastõendamisel rakendatakse vestlus</w:t>
      </w:r>
      <w:r>
        <w:rPr>
          <w:rFonts w:eastAsia="Calibri"/>
        </w:rPr>
        <w:t>t vajadusel</w:t>
      </w:r>
      <w:r w:rsidRPr="00E602A8">
        <w:rPr>
          <w:rFonts w:eastAsia="Calibri"/>
        </w:rPr>
        <w:t>.</w:t>
      </w:r>
    </w:p>
    <w:p w14:paraId="41057E21" w14:textId="77777777" w:rsidR="002635CF" w:rsidRPr="00E602A8" w:rsidRDefault="002635CF" w:rsidP="002635CF">
      <w:pPr>
        <w:pStyle w:val="ListParagraph"/>
        <w:suppressAutoHyphens w:val="0"/>
        <w:ind w:left="810"/>
        <w:jc w:val="both"/>
        <w:rPr>
          <w:rFonts w:eastAsia="Calibri"/>
        </w:rPr>
      </w:pPr>
    </w:p>
    <w:p w14:paraId="6D99A73A" w14:textId="63ACDA69" w:rsidR="00E435E7" w:rsidRPr="00E602A8" w:rsidRDefault="00157BBC" w:rsidP="00E435E7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Vestluse</w:t>
      </w:r>
      <w:r w:rsidR="009A2533" w:rsidRPr="00E602A8">
        <w:rPr>
          <w:color w:val="000000" w:themeColor="text1"/>
          <w:lang w:val="et-EE"/>
        </w:rPr>
        <w:t xml:space="preserve"> käigus</w:t>
      </w:r>
      <w:r w:rsidRPr="00E602A8">
        <w:rPr>
          <w:color w:val="000000" w:themeColor="text1"/>
          <w:lang w:val="et-EE"/>
        </w:rPr>
        <w:t xml:space="preserve"> täpsustatakse taotleja tervisedenduse</w:t>
      </w:r>
      <w:r w:rsidR="009A2533" w:rsidRPr="00E602A8">
        <w:rPr>
          <w:color w:val="000000" w:themeColor="text1"/>
          <w:lang w:val="et-EE"/>
        </w:rPr>
        <w:t>alast</w:t>
      </w:r>
      <w:r w:rsidRPr="00E602A8">
        <w:rPr>
          <w:color w:val="000000" w:themeColor="text1"/>
          <w:lang w:val="et-EE"/>
        </w:rPr>
        <w:t xml:space="preserve">  kompetentsust ning antakse talle tagasisidet. </w:t>
      </w:r>
      <w:r w:rsidR="002635CF" w:rsidRPr="00E602A8">
        <w:rPr>
          <w:color w:val="000000" w:themeColor="text1"/>
          <w:lang w:val="et-EE"/>
        </w:rPr>
        <w:t>Üks hindamiskomisjoni liikmetest</w:t>
      </w:r>
      <w:r w:rsidR="002635CF">
        <w:rPr>
          <w:color w:val="000000" w:themeColor="text1"/>
          <w:lang w:val="et-EE"/>
        </w:rPr>
        <w:t>, tavaliselt hindamiskomisjoni esimees,</w:t>
      </w:r>
      <w:r w:rsidR="002635CF" w:rsidRPr="00E602A8">
        <w:rPr>
          <w:color w:val="000000" w:themeColor="text1"/>
          <w:lang w:val="et-EE"/>
        </w:rPr>
        <w:t xml:space="preserve"> on vestluse juhiks. Vestlusel esitatakse täiendavaid küsimusi, et välja selgitada kutse taotleja teadmised ja oskused neis valdkondades, mille osas ekspertidele jäi kirjalikust eneseanalüüsist ebaselgeks taotleja pädevus.  </w:t>
      </w:r>
      <w:r w:rsidRPr="00E602A8">
        <w:rPr>
          <w:color w:val="000000" w:themeColor="text1"/>
          <w:lang w:val="et-EE"/>
        </w:rPr>
        <w:t>Taotlejal on võimalus demonstreerida enda teadmisi ja oskusi, samuti esitada küsimusi</w:t>
      </w:r>
      <w:r w:rsidR="00E435E7" w:rsidRPr="00E602A8">
        <w:rPr>
          <w:color w:val="000000" w:themeColor="text1"/>
          <w:lang w:val="et-EE"/>
        </w:rPr>
        <w:t>.</w:t>
      </w:r>
      <w:r w:rsidR="002635CF">
        <w:rPr>
          <w:color w:val="000000" w:themeColor="text1"/>
          <w:lang w:val="et-EE"/>
        </w:rPr>
        <w:t xml:space="preserve"> </w:t>
      </w:r>
      <w:r w:rsidR="002B63B4" w:rsidRPr="00E602A8">
        <w:rPr>
          <w:color w:val="000000" w:themeColor="text1"/>
          <w:lang w:val="et-EE"/>
        </w:rPr>
        <w:t xml:space="preserve">Vestluse </w:t>
      </w:r>
      <w:r w:rsidR="006E169E" w:rsidRPr="00E602A8">
        <w:rPr>
          <w:color w:val="000000" w:themeColor="text1"/>
          <w:lang w:val="et-EE"/>
        </w:rPr>
        <w:t xml:space="preserve">tulemus vormistatakse Vestluse hindamise vormil </w:t>
      </w:r>
      <w:r w:rsidR="00EC52E1" w:rsidRPr="00E602A8">
        <w:rPr>
          <w:color w:val="000000" w:themeColor="text1"/>
          <w:lang w:val="et-EE"/>
        </w:rPr>
        <w:t>(</w:t>
      </w:r>
      <w:r w:rsidR="006E169E" w:rsidRPr="00E602A8">
        <w:rPr>
          <w:color w:val="000000" w:themeColor="text1"/>
          <w:lang w:val="et-EE"/>
        </w:rPr>
        <w:t>lisa 3)</w:t>
      </w:r>
      <w:r w:rsidR="00CD6614">
        <w:rPr>
          <w:color w:val="000000" w:themeColor="text1"/>
          <w:lang w:val="et-EE"/>
        </w:rPr>
        <w:t>.</w:t>
      </w:r>
    </w:p>
    <w:p w14:paraId="41B7B4F8" w14:textId="5BAEACBA" w:rsidR="00E435E7" w:rsidRPr="00E602A8" w:rsidRDefault="00E435E7" w:rsidP="00CA1357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</w:p>
    <w:p w14:paraId="3FA66875" w14:textId="77777777" w:rsidR="00E3764F" w:rsidRPr="00E602A8" w:rsidRDefault="00E3764F" w:rsidP="00CA1357">
      <w:pPr>
        <w:pStyle w:val="NormalWeb"/>
        <w:spacing w:before="0" w:beforeAutospacing="0" w:after="150" w:afterAutospacing="0"/>
        <w:jc w:val="both"/>
        <w:rPr>
          <w:b/>
          <w:lang w:val="et-EE"/>
        </w:rPr>
      </w:pPr>
      <w:r w:rsidRPr="00E602A8">
        <w:rPr>
          <w:b/>
          <w:lang w:val="et-EE"/>
        </w:rPr>
        <w:t>Hindamise korraldus</w:t>
      </w:r>
    </w:p>
    <w:p w14:paraId="64757FC2" w14:textId="776E089B" w:rsidR="00FF226E" w:rsidRPr="00E602A8" w:rsidRDefault="00FF226E" w:rsidP="00CA1357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Tervisedendaja kutse taotlemine on võimalik vähemalt 1 kord aastas.</w:t>
      </w:r>
      <w:r w:rsidR="00E90EDA">
        <w:rPr>
          <w:color w:val="000000" w:themeColor="text1"/>
          <w:lang w:val="et-EE"/>
        </w:rPr>
        <w:t xml:space="preserve"> </w:t>
      </w:r>
      <w:r w:rsidRPr="00E602A8">
        <w:rPr>
          <w:color w:val="000000" w:themeColor="text1"/>
          <w:lang w:val="et-EE"/>
        </w:rPr>
        <w:t xml:space="preserve">Tervisedendaja kutse </w:t>
      </w:r>
      <w:r w:rsidR="00EC52E1" w:rsidRPr="00E602A8">
        <w:rPr>
          <w:color w:val="000000" w:themeColor="text1"/>
          <w:lang w:val="et-EE"/>
        </w:rPr>
        <w:t xml:space="preserve">taotlemine </w:t>
      </w:r>
      <w:r w:rsidRPr="00E602A8">
        <w:rPr>
          <w:color w:val="000000" w:themeColor="text1"/>
          <w:lang w:val="et-EE"/>
        </w:rPr>
        <w:t xml:space="preserve">algab, kui taotleja edastab </w:t>
      </w:r>
      <w:r w:rsidR="00E90EDA">
        <w:rPr>
          <w:color w:val="000000" w:themeColor="text1"/>
          <w:lang w:val="et-EE"/>
        </w:rPr>
        <w:t xml:space="preserve">tähtajaks </w:t>
      </w:r>
      <w:r w:rsidRPr="00E602A8">
        <w:rPr>
          <w:color w:val="000000" w:themeColor="text1"/>
          <w:lang w:val="et-EE"/>
        </w:rPr>
        <w:t>elektroonselt kõik kutse andmise korras toodud taotlemiseks vajalikud dokumendid.</w:t>
      </w:r>
    </w:p>
    <w:p w14:paraId="0AB32CB1" w14:textId="13843E67" w:rsidR="00157BBC" w:rsidRPr="00E602A8" w:rsidRDefault="00157BBC" w:rsidP="00157BBC">
      <w:pPr>
        <w:pStyle w:val="NormalWeb"/>
        <w:spacing w:after="15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 xml:space="preserve">Kutse andja poolt määratud isik </w:t>
      </w:r>
      <w:r w:rsidR="00361FF9" w:rsidRPr="00E602A8">
        <w:rPr>
          <w:color w:val="000000" w:themeColor="text1"/>
          <w:lang w:val="et-EE"/>
        </w:rPr>
        <w:t>vaatab esitatud dokumendid läbi</w:t>
      </w:r>
      <w:r w:rsidRPr="00E602A8">
        <w:rPr>
          <w:color w:val="000000" w:themeColor="text1"/>
          <w:lang w:val="et-EE"/>
        </w:rPr>
        <w:t xml:space="preserve">. Juhul, kui dokumendid ei vasta nõuetele, siis teavitatakse taotlejat puudustest 10 tööpäeva jooksul ja antakse tähtaeg puuduste kõrvaldamiseks. Vajadusel </w:t>
      </w:r>
      <w:r w:rsidR="00361FF9" w:rsidRPr="00E602A8">
        <w:rPr>
          <w:color w:val="000000" w:themeColor="text1"/>
          <w:lang w:val="et-EE"/>
        </w:rPr>
        <w:t xml:space="preserve">nõustatakse taotlejat </w:t>
      </w:r>
      <w:r w:rsidRPr="00E602A8">
        <w:rPr>
          <w:color w:val="000000" w:themeColor="text1"/>
          <w:lang w:val="et-EE"/>
        </w:rPr>
        <w:t xml:space="preserve">ning </w:t>
      </w:r>
      <w:r w:rsidR="00361FF9" w:rsidRPr="00E602A8">
        <w:rPr>
          <w:color w:val="000000" w:themeColor="text1"/>
          <w:lang w:val="et-EE"/>
        </w:rPr>
        <w:t xml:space="preserve">tehakse </w:t>
      </w:r>
      <w:r w:rsidRPr="00E602A8">
        <w:rPr>
          <w:color w:val="000000" w:themeColor="text1"/>
          <w:lang w:val="et-EE"/>
        </w:rPr>
        <w:t>ettepaneku</w:t>
      </w:r>
      <w:r w:rsidR="00361FF9" w:rsidRPr="00E602A8">
        <w:rPr>
          <w:color w:val="000000" w:themeColor="text1"/>
          <w:lang w:val="et-EE"/>
        </w:rPr>
        <w:t>id</w:t>
      </w:r>
      <w:r w:rsidRPr="00E602A8">
        <w:rPr>
          <w:color w:val="000000" w:themeColor="text1"/>
          <w:lang w:val="et-EE"/>
        </w:rPr>
        <w:t xml:space="preserve"> dokumentide täiendamiseks või lisamiseks.</w:t>
      </w:r>
    </w:p>
    <w:p w14:paraId="16C63568" w14:textId="51686AF4" w:rsidR="00157BBC" w:rsidRPr="00E602A8" w:rsidRDefault="00157BBC" w:rsidP="00157BBC">
      <w:pPr>
        <w:pStyle w:val="NormalWeb"/>
        <w:spacing w:after="15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Kutse andja poolt määratud isik edastab nõuetekohased taotlused</w:t>
      </w:r>
      <w:r w:rsidR="00EC52E1" w:rsidRPr="00E602A8">
        <w:rPr>
          <w:color w:val="000000" w:themeColor="text1"/>
          <w:lang w:val="et-EE"/>
        </w:rPr>
        <w:t xml:space="preserve"> ja taotlemise eeltingimuste täitmist tõendavad dokumendid</w:t>
      </w:r>
      <w:r w:rsidRPr="00E602A8">
        <w:rPr>
          <w:color w:val="000000" w:themeColor="text1"/>
          <w:lang w:val="et-EE"/>
        </w:rPr>
        <w:t xml:space="preserve"> kutsekomisjonile. Kutsekomisjon teeb </w:t>
      </w:r>
      <w:r w:rsidR="00EC52E1" w:rsidRPr="00E602A8">
        <w:rPr>
          <w:color w:val="000000" w:themeColor="text1"/>
          <w:lang w:val="et-EE"/>
        </w:rPr>
        <w:t xml:space="preserve">dokumentide põhjal </w:t>
      </w:r>
      <w:r w:rsidRPr="00E602A8">
        <w:rPr>
          <w:color w:val="000000" w:themeColor="text1"/>
          <w:lang w:val="et-EE"/>
        </w:rPr>
        <w:t xml:space="preserve">otsuse taotleja kompetentsuse hindamisele </w:t>
      </w:r>
      <w:r w:rsidR="00EC52E1" w:rsidRPr="00E602A8">
        <w:rPr>
          <w:color w:val="000000" w:themeColor="text1"/>
          <w:lang w:val="et-EE"/>
        </w:rPr>
        <w:t xml:space="preserve">lubamise </w:t>
      </w:r>
      <w:r w:rsidRPr="00E602A8">
        <w:rPr>
          <w:color w:val="000000" w:themeColor="text1"/>
          <w:lang w:val="et-EE"/>
        </w:rPr>
        <w:t>kohta 20 tööpäeva jooksul alates dokumentide esitamise tähtajast.</w:t>
      </w:r>
    </w:p>
    <w:p w14:paraId="78D2A15A" w14:textId="07D5297B" w:rsidR="00E90EDA" w:rsidRDefault="00E90EDA" w:rsidP="00157BBC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Kutse andja poolt määratud isik edastab hindamisele lubatud taotlejate dokumendid hindamiskomisjoni liikmetele. Hindamiskomisjoni liikmed teavitavad vajadusel neil esinevast huvist seoses taotlejaga. Selle järgselt kinnitatakse igale taotlejale kolmeliikmeline hindamiskomisjon.</w:t>
      </w:r>
    </w:p>
    <w:p w14:paraId="5247E640" w14:textId="77777777" w:rsidR="00450618" w:rsidRDefault="00EC52E1" w:rsidP="00157BBC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 xml:space="preserve">Kompetentsust hindab </w:t>
      </w:r>
      <w:r w:rsidR="00FF226E" w:rsidRPr="00E602A8">
        <w:rPr>
          <w:color w:val="000000" w:themeColor="text1"/>
          <w:lang w:val="et-EE"/>
        </w:rPr>
        <w:t>kutsekomisjoni moodustatud 3</w:t>
      </w:r>
      <w:r w:rsidRPr="00E602A8">
        <w:rPr>
          <w:color w:val="000000" w:themeColor="text1"/>
          <w:lang w:val="et-EE"/>
        </w:rPr>
        <w:t>-</w:t>
      </w:r>
      <w:r w:rsidR="00FF226E" w:rsidRPr="00E602A8">
        <w:rPr>
          <w:color w:val="000000" w:themeColor="text1"/>
          <w:lang w:val="et-EE"/>
        </w:rPr>
        <w:t>liikmeline hindamiskomisjon</w:t>
      </w:r>
      <w:r w:rsidR="00E90EDA">
        <w:rPr>
          <w:color w:val="000000" w:themeColor="text1"/>
          <w:lang w:val="et-EE"/>
        </w:rPr>
        <w:t xml:space="preserve"> vastava taotleja kohta</w:t>
      </w:r>
      <w:r w:rsidR="00FF226E" w:rsidRPr="00E602A8">
        <w:rPr>
          <w:color w:val="000000" w:themeColor="text1"/>
          <w:lang w:val="et-EE"/>
        </w:rPr>
        <w:t>.</w:t>
      </w:r>
      <w:r w:rsidR="00911444" w:rsidRPr="00E602A8">
        <w:rPr>
          <w:color w:val="000000" w:themeColor="text1"/>
          <w:lang w:val="et-EE"/>
        </w:rPr>
        <w:t xml:space="preserve"> </w:t>
      </w:r>
    </w:p>
    <w:p w14:paraId="196C6C4B" w14:textId="77777777" w:rsidR="00450618" w:rsidRDefault="00450618" w:rsidP="00157BBC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 xml:space="preserve">HINDAMINE ENESEANALÜÜSI PÕHJAL </w:t>
      </w:r>
    </w:p>
    <w:p w14:paraId="3B64F54C" w14:textId="757E5FB5" w:rsidR="00D702B4" w:rsidRDefault="00911444" w:rsidP="00157BBC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 xml:space="preserve">Hindajad </w:t>
      </w:r>
      <w:r w:rsidR="00EC52E1" w:rsidRPr="00E602A8">
        <w:rPr>
          <w:color w:val="000000" w:themeColor="text1"/>
          <w:lang w:val="et-EE"/>
        </w:rPr>
        <w:t xml:space="preserve">hindavad </w:t>
      </w:r>
      <w:r w:rsidRPr="00E602A8">
        <w:rPr>
          <w:color w:val="000000" w:themeColor="text1"/>
          <w:lang w:val="et-EE"/>
        </w:rPr>
        <w:t xml:space="preserve">taotleja poolt elektrooniliselt esitatud </w:t>
      </w:r>
      <w:r w:rsidR="00EC52E1" w:rsidRPr="00E602A8">
        <w:rPr>
          <w:color w:val="000000" w:themeColor="text1"/>
          <w:lang w:val="et-EE"/>
        </w:rPr>
        <w:t>ene</w:t>
      </w:r>
      <w:r w:rsidR="00E90EDA">
        <w:rPr>
          <w:color w:val="000000" w:themeColor="text1"/>
          <w:lang w:val="et-EE"/>
        </w:rPr>
        <w:t>se</w:t>
      </w:r>
      <w:r w:rsidR="00CD6614">
        <w:rPr>
          <w:color w:val="000000" w:themeColor="text1"/>
          <w:lang w:val="et-EE"/>
        </w:rPr>
        <w:t>analüüsi</w:t>
      </w:r>
      <w:r w:rsidRPr="00E602A8">
        <w:rPr>
          <w:color w:val="000000" w:themeColor="text1"/>
          <w:lang w:val="et-EE"/>
        </w:rPr>
        <w:t xml:space="preserve">, saades sel viisil ülevaate taotleja tegevustest ja kompetentsusest tervisedendajana. </w:t>
      </w:r>
      <w:r w:rsidR="00D702B4">
        <w:rPr>
          <w:color w:val="000000" w:themeColor="text1"/>
          <w:lang w:val="et-EE"/>
        </w:rPr>
        <w:t>Iga h</w:t>
      </w:r>
      <w:r w:rsidR="00E90EDA">
        <w:rPr>
          <w:color w:val="000000" w:themeColor="text1"/>
          <w:lang w:val="et-EE"/>
        </w:rPr>
        <w:t xml:space="preserve">indaja täidab taotleja kohta Eneseanalüüsi hindamise vormi (Lisa 2) ja edastab selle hindamiskomisjoni esimehele. Hindamiskomisjoni esimees </w:t>
      </w:r>
      <w:r w:rsidR="00450618">
        <w:rPr>
          <w:color w:val="000000" w:themeColor="text1"/>
          <w:lang w:val="et-EE"/>
        </w:rPr>
        <w:t xml:space="preserve">koondab </w:t>
      </w:r>
      <w:r w:rsidR="00D702B4">
        <w:rPr>
          <w:color w:val="000000" w:themeColor="text1"/>
          <w:lang w:val="et-EE"/>
        </w:rPr>
        <w:t xml:space="preserve">taastõendajate osas </w:t>
      </w:r>
      <w:r w:rsidR="00450618">
        <w:rPr>
          <w:color w:val="000000" w:themeColor="text1"/>
          <w:lang w:val="et-EE"/>
        </w:rPr>
        <w:t>tulemused ja</w:t>
      </w:r>
      <w:r w:rsidR="00D702B4">
        <w:rPr>
          <w:color w:val="000000" w:themeColor="text1"/>
          <w:lang w:val="et-EE"/>
        </w:rPr>
        <w:t xml:space="preserve"> juhib vajadusel arutelu </w:t>
      </w:r>
      <w:r w:rsidR="00D702B4">
        <w:rPr>
          <w:color w:val="000000" w:themeColor="text1"/>
          <w:lang w:val="et-EE"/>
        </w:rPr>
        <w:lastRenderedPageBreak/>
        <w:t>hindamiskomisjoni liikmetega, et saavutataks konsensus. Kui taastõendamisel ei peeta vajalikuks kutsuda taotlejat vestlusele, vormistab  ja allkirjastab hindamiskomisjoni esimees hindamiskomisjoni koondhinnangu (Lisa 4).</w:t>
      </w:r>
    </w:p>
    <w:p w14:paraId="7B70BDEC" w14:textId="3C9BF41F" w:rsidR="00450618" w:rsidRDefault="00D702B4" w:rsidP="00D702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Hindamiskomisjoni esimees saadab taastõendamise taotlejate puhul tulemused</w:t>
      </w:r>
      <w:r w:rsidR="00450618">
        <w:rPr>
          <w:color w:val="000000" w:themeColor="text1"/>
          <w:lang w:val="et-EE"/>
        </w:rPr>
        <w:t xml:space="preserve"> kutsekomisjonile vastavalt kas otsustamiseks dokumentide põhjal</w:t>
      </w:r>
      <w:r>
        <w:rPr>
          <w:color w:val="000000" w:themeColor="text1"/>
          <w:lang w:val="et-EE"/>
        </w:rPr>
        <w:t xml:space="preserve"> (Lisa 4</w:t>
      </w:r>
      <w:r w:rsidR="00450618">
        <w:rPr>
          <w:color w:val="000000" w:themeColor="text1"/>
          <w:lang w:val="et-EE"/>
        </w:rPr>
        <w:t xml:space="preserve">) või </w:t>
      </w:r>
      <w:r>
        <w:rPr>
          <w:color w:val="000000" w:themeColor="text1"/>
          <w:lang w:val="et-EE"/>
        </w:rPr>
        <w:t xml:space="preserve">teabe </w:t>
      </w:r>
      <w:r w:rsidR="00450618">
        <w:rPr>
          <w:color w:val="000000" w:themeColor="text1"/>
          <w:lang w:val="et-EE"/>
        </w:rPr>
        <w:t xml:space="preserve">vestlusvooru korraldamiseks taastõendaja puhul. </w:t>
      </w:r>
      <w:r>
        <w:rPr>
          <w:color w:val="000000" w:themeColor="text1"/>
          <w:lang w:val="et-EE"/>
        </w:rPr>
        <w:t>Allkirjastaud k</w:t>
      </w:r>
      <w:r w:rsidRPr="00E602A8">
        <w:rPr>
          <w:color w:val="000000" w:themeColor="text1"/>
          <w:lang w:val="et-EE"/>
        </w:rPr>
        <w:t xml:space="preserve">oondhinnang on </w:t>
      </w:r>
      <w:r>
        <w:rPr>
          <w:color w:val="000000" w:themeColor="text1"/>
          <w:lang w:val="et-EE"/>
        </w:rPr>
        <w:t>aluseks kutsekomisjonile</w:t>
      </w:r>
      <w:r w:rsidRPr="00E602A8">
        <w:rPr>
          <w:color w:val="000000" w:themeColor="text1"/>
          <w:lang w:val="et-EE"/>
        </w:rPr>
        <w:t xml:space="preserve"> otsuse langetamisel taotlejale kutse andmise/mitteandmise kohta.</w:t>
      </w:r>
    </w:p>
    <w:p w14:paraId="51EAE8FE" w14:textId="77777777" w:rsidR="00450618" w:rsidRDefault="00450618" w:rsidP="00157BBC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HINDAMINE VESTLUSE PÕHJAL</w:t>
      </w:r>
    </w:p>
    <w:p w14:paraId="7C822A4A" w14:textId="77777777" w:rsidR="00450618" w:rsidRDefault="00450618" w:rsidP="00157BBC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 xml:space="preserve">Vestlused toimuvad kõigi esmastaotlejatega, vajadusel ka taastõendajatega. </w:t>
      </w:r>
    </w:p>
    <w:p w14:paraId="68419FAA" w14:textId="2134888D" w:rsidR="00157BBC" w:rsidRDefault="00450618" w:rsidP="00157BBC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Vestlusel osalevad taotleja ja kõik hindamiskomisjoni liikmed. Põhjendatud juhtudel on aktsepteeritav, kui üks hindamiskomisjoni liige osaleb vestlusel distantsilt -</w:t>
      </w:r>
      <w:r w:rsidR="00E435E7" w:rsidRPr="00E602A8">
        <w:rPr>
          <w:color w:val="000000" w:themeColor="text1"/>
          <w:lang w:val="et-EE"/>
        </w:rPr>
        <w:t xml:space="preserve"> telefoni ja/või Skype’i teel</w:t>
      </w:r>
      <w:r>
        <w:rPr>
          <w:color w:val="000000" w:themeColor="text1"/>
          <w:lang w:val="et-EE"/>
        </w:rPr>
        <w:t>.</w:t>
      </w:r>
    </w:p>
    <w:p w14:paraId="77673C19" w14:textId="563C6535" w:rsidR="00450618" w:rsidRDefault="00450618" w:rsidP="00157BBC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Vestlust juhib reeglina hindamiskomisjoni esimees või tema poolt määratud hindamiskomisjoni liige. Vestluse hinnanguline kestvus on kuni  1 tund.</w:t>
      </w:r>
    </w:p>
    <w:p w14:paraId="66038F0C" w14:textId="4888E9A7" w:rsidR="00450618" w:rsidRPr="00E602A8" w:rsidRDefault="00450618" w:rsidP="00157BBC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Iga hindamiskomisjoni liige täidab vestluse hinnangu vormi (Lisa 3) ning edastab selle hindamiskomisjoni esimehele.</w:t>
      </w:r>
      <w:r w:rsidR="00D702B4">
        <w:rPr>
          <w:color w:val="000000" w:themeColor="text1"/>
          <w:lang w:val="et-EE"/>
        </w:rPr>
        <w:t xml:space="preserve"> Hindamiskomisjoni esimees koondab nii esmaste kui vestlusele kutsutud taastõendajate osas tulemused ja juhib vajadusel arutelu hindamiskomisjoni liikmetega, et saavutataks konsensus.</w:t>
      </w:r>
    </w:p>
    <w:p w14:paraId="3628F4FD" w14:textId="61239682" w:rsidR="00D702B4" w:rsidRDefault="00D702B4" w:rsidP="00D702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Hindamiskomisjoni esimees vormistab ja allkirjastab iga taotleja kohta eraldi hindamiskomisjoni</w:t>
      </w:r>
      <w:r w:rsidR="006E169E" w:rsidRPr="00E602A8">
        <w:rPr>
          <w:color w:val="000000" w:themeColor="text1"/>
          <w:lang w:val="et-EE"/>
        </w:rPr>
        <w:t xml:space="preserve"> koondhinnang</w:t>
      </w:r>
      <w:r>
        <w:rPr>
          <w:color w:val="000000" w:themeColor="text1"/>
          <w:lang w:val="et-EE"/>
        </w:rPr>
        <w:t>u</w:t>
      </w:r>
      <w:r w:rsidR="00911444" w:rsidRPr="00E602A8">
        <w:rPr>
          <w:color w:val="000000" w:themeColor="text1"/>
          <w:lang w:val="et-EE"/>
        </w:rPr>
        <w:t xml:space="preserve"> (</w:t>
      </w:r>
      <w:r w:rsidR="006E169E" w:rsidRPr="00E602A8">
        <w:rPr>
          <w:color w:val="000000" w:themeColor="text1"/>
          <w:lang w:val="et-EE"/>
        </w:rPr>
        <w:t>Hindamiskomisjoni koondhinnang</w:t>
      </w:r>
      <w:r w:rsidR="0059758B" w:rsidRPr="00E602A8">
        <w:rPr>
          <w:color w:val="000000" w:themeColor="text1"/>
          <w:lang w:val="et-EE"/>
        </w:rPr>
        <w:t>,</w:t>
      </w:r>
      <w:r w:rsidR="006E169E" w:rsidRPr="00E602A8">
        <w:rPr>
          <w:color w:val="000000" w:themeColor="text1"/>
          <w:lang w:val="et-EE"/>
        </w:rPr>
        <w:t xml:space="preserve"> lisa 4</w:t>
      </w:r>
      <w:r>
        <w:rPr>
          <w:color w:val="000000" w:themeColor="text1"/>
          <w:lang w:val="et-EE"/>
        </w:rPr>
        <w:t xml:space="preserve">), </w:t>
      </w:r>
      <w:r w:rsidR="006E169E" w:rsidRPr="00E602A8">
        <w:rPr>
          <w:color w:val="000000" w:themeColor="text1"/>
          <w:lang w:val="et-EE"/>
        </w:rPr>
        <w:t>mis on ühtlasi hinda</w:t>
      </w:r>
      <w:r>
        <w:rPr>
          <w:color w:val="000000" w:themeColor="text1"/>
          <w:lang w:val="et-EE"/>
        </w:rPr>
        <w:t xml:space="preserve">miskomisjoni tegevuse protokoll, </w:t>
      </w:r>
      <w:r w:rsidRPr="00E602A8">
        <w:rPr>
          <w:color w:val="000000" w:themeColor="text1"/>
          <w:lang w:val="et-EE"/>
        </w:rPr>
        <w:t xml:space="preserve">kus on näha erinevate etappide tulemused ning hindamiskomisjoni arvamus ja soovitused. </w:t>
      </w:r>
    </w:p>
    <w:p w14:paraId="3B2CB9ED" w14:textId="49B4D301" w:rsidR="00D702B4" w:rsidRDefault="00D702B4" w:rsidP="00D702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Allkirjastaud k</w:t>
      </w:r>
      <w:r w:rsidR="006E169E" w:rsidRPr="00E602A8">
        <w:rPr>
          <w:color w:val="000000" w:themeColor="text1"/>
          <w:lang w:val="et-EE"/>
        </w:rPr>
        <w:t xml:space="preserve">oondhinnang </w:t>
      </w:r>
      <w:r w:rsidR="00911444" w:rsidRPr="00E602A8">
        <w:rPr>
          <w:color w:val="000000" w:themeColor="text1"/>
          <w:lang w:val="et-EE"/>
        </w:rPr>
        <w:t xml:space="preserve">on </w:t>
      </w:r>
      <w:r>
        <w:rPr>
          <w:color w:val="000000" w:themeColor="text1"/>
          <w:lang w:val="et-EE"/>
        </w:rPr>
        <w:t>aluseks kutsekomisjonile</w:t>
      </w:r>
      <w:r w:rsidR="00911444" w:rsidRPr="00E602A8">
        <w:rPr>
          <w:color w:val="000000" w:themeColor="text1"/>
          <w:lang w:val="et-EE"/>
        </w:rPr>
        <w:t xml:space="preserve"> otsuse langetamisel taotlejale kutse andmise/mitteandmise kohta. Taotlejale antakse tervisedendaja kutse juhul</w:t>
      </w:r>
      <w:r w:rsidR="0059758B" w:rsidRPr="00E602A8">
        <w:rPr>
          <w:color w:val="000000" w:themeColor="text1"/>
          <w:lang w:val="et-EE"/>
        </w:rPr>
        <w:t>,</w:t>
      </w:r>
      <w:r w:rsidR="00911444" w:rsidRPr="00E602A8">
        <w:rPr>
          <w:color w:val="000000" w:themeColor="text1"/>
          <w:lang w:val="et-EE"/>
        </w:rPr>
        <w:t xml:space="preserve"> kui kõik hindamiskriteeriumid (</w:t>
      </w:r>
      <w:r>
        <w:rPr>
          <w:color w:val="000000" w:themeColor="text1"/>
          <w:lang w:val="et-EE"/>
        </w:rPr>
        <w:t>Koondhinnang</w:t>
      </w:r>
      <w:r w:rsidR="00CD6614">
        <w:rPr>
          <w:color w:val="000000" w:themeColor="text1"/>
          <w:lang w:val="et-EE"/>
        </w:rPr>
        <w:t xml:space="preserve"> lisa 4</w:t>
      </w:r>
      <w:r w:rsidR="00911444" w:rsidRPr="00E602A8">
        <w:rPr>
          <w:color w:val="000000" w:themeColor="text1"/>
          <w:lang w:val="et-EE"/>
        </w:rPr>
        <w:t xml:space="preserve"> ) on hinnatud dokumentide analüüsi ja vestluse alusel </w:t>
      </w:r>
      <w:r>
        <w:rPr>
          <w:color w:val="000000" w:themeColor="text1"/>
          <w:lang w:val="et-EE"/>
        </w:rPr>
        <w:t xml:space="preserve">kokkuvõttes </w:t>
      </w:r>
      <w:r w:rsidR="00911444" w:rsidRPr="00E602A8">
        <w:rPr>
          <w:color w:val="000000" w:themeColor="text1"/>
          <w:lang w:val="et-EE"/>
        </w:rPr>
        <w:t xml:space="preserve">täidetuks. </w:t>
      </w:r>
      <w:r w:rsidRPr="00E602A8">
        <w:rPr>
          <w:color w:val="000000" w:themeColor="text1"/>
          <w:lang w:val="et-EE"/>
        </w:rPr>
        <w:t xml:space="preserve">Hindamiskomisjoni </w:t>
      </w:r>
      <w:r>
        <w:rPr>
          <w:color w:val="000000" w:themeColor="text1"/>
          <w:lang w:val="et-EE"/>
        </w:rPr>
        <w:t xml:space="preserve">allkirjastatud </w:t>
      </w:r>
      <w:r w:rsidRPr="00E602A8">
        <w:rPr>
          <w:color w:val="000000" w:themeColor="text1"/>
          <w:lang w:val="et-EE"/>
        </w:rPr>
        <w:t>koondhinnang on kutse andja ametlik tagasiside taotlejale, mis saadetakse taotlejale koos kutsekomisjoni otsusega kutse andmise või mitte andmise kohta.</w:t>
      </w:r>
      <w:r w:rsidRPr="00D702B4">
        <w:rPr>
          <w:color w:val="000000" w:themeColor="text1"/>
          <w:lang w:val="et-EE"/>
        </w:rPr>
        <w:t xml:space="preserve"> </w:t>
      </w:r>
    </w:p>
    <w:p w14:paraId="390FB8D0" w14:textId="2AD79F67" w:rsidR="00D702B4" w:rsidRDefault="00D702B4" w:rsidP="00D702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Kutse andja teavitab taotlejat tehtud otsusest</w:t>
      </w:r>
      <w:r w:rsidR="00C22774">
        <w:rPr>
          <w:color w:val="000000" w:themeColor="text1"/>
          <w:lang w:val="et-EE"/>
        </w:rPr>
        <w:t xml:space="preserve"> vastavalt kutse andmise korras</w:t>
      </w:r>
      <w:r w:rsidR="000A037C">
        <w:rPr>
          <w:color w:val="000000" w:themeColor="text1"/>
          <w:lang w:val="et-EE"/>
        </w:rPr>
        <w:t xml:space="preserve"> ning kutse- ja hindamiskomisjoni töökorras</w:t>
      </w:r>
      <w:r w:rsidR="00C22774">
        <w:rPr>
          <w:color w:val="000000" w:themeColor="text1"/>
          <w:lang w:val="et-EE"/>
        </w:rPr>
        <w:t xml:space="preserve"> sätesta</w:t>
      </w:r>
      <w:r w:rsidR="000A037C">
        <w:rPr>
          <w:color w:val="000000" w:themeColor="text1"/>
          <w:lang w:val="et-EE"/>
        </w:rPr>
        <w:t>t</w:t>
      </w:r>
      <w:r w:rsidR="00C22774">
        <w:rPr>
          <w:color w:val="000000" w:themeColor="text1"/>
          <w:lang w:val="et-EE"/>
        </w:rPr>
        <w:t>ust.</w:t>
      </w:r>
    </w:p>
    <w:p w14:paraId="717C20CE" w14:textId="1B7B10F7" w:rsidR="00D702B4" w:rsidRPr="00E602A8" w:rsidRDefault="00D702B4" w:rsidP="00D702B4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Kutse andja ja kutse andmise protsessis osalevad osapooled ei avalda h</w:t>
      </w:r>
      <w:r w:rsidRPr="00E602A8">
        <w:rPr>
          <w:color w:val="000000" w:themeColor="text1"/>
          <w:lang w:val="et-EE"/>
        </w:rPr>
        <w:t>indamise vorme ja koondhinnangut kolmandatele isikutele.</w:t>
      </w:r>
    </w:p>
    <w:p w14:paraId="4F710196" w14:textId="55662612" w:rsidR="00157BBC" w:rsidRPr="00E602A8" w:rsidRDefault="00157BBC" w:rsidP="00157BBC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</w:p>
    <w:p w14:paraId="3D56C078" w14:textId="77777777" w:rsidR="00E3764F" w:rsidRPr="00E602A8" w:rsidRDefault="00E3764F" w:rsidP="00CA1357">
      <w:pPr>
        <w:pStyle w:val="NormalWeb"/>
        <w:spacing w:before="0" w:beforeAutospacing="0" w:after="150" w:afterAutospacing="0"/>
        <w:jc w:val="both"/>
        <w:rPr>
          <w:b/>
          <w:bCs/>
          <w:color w:val="000000"/>
          <w:lang w:val="et-EE"/>
        </w:rPr>
      </w:pPr>
      <w:r w:rsidRPr="00E602A8">
        <w:rPr>
          <w:b/>
          <w:lang w:val="et-EE"/>
        </w:rPr>
        <w:t>V</w:t>
      </w:r>
      <w:r w:rsidRPr="00E602A8">
        <w:rPr>
          <w:rFonts w:eastAsia="Calibri"/>
          <w:b/>
          <w:lang w:val="et-EE"/>
        </w:rPr>
        <w:t>ormid hindajale</w:t>
      </w:r>
    </w:p>
    <w:p w14:paraId="4422816D" w14:textId="77777777" w:rsidR="00CA1357" w:rsidRPr="00E602A8" w:rsidRDefault="00CA1357" w:rsidP="00CA1357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Lisa 1</w:t>
      </w:r>
      <w:r w:rsidR="006E169E" w:rsidRPr="00E602A8">
        <w:rPr>
          <w:color w:val="000000" w:themeColor="text1"/>
          <w:lang w:val="et-EE"/>
        </w:rPr>
        <w:t>: Eneseanalüüsi vorm taotlejale</w:t>
      </w:r>
    </w:p>
    <w:p w14:paraId="7ACC1786" w14:textId="1E9FD721" w:rsidR="002B63B4" w:rsidRPr="00E602A8" w:rsidRDefault="006E169E" w:rsidP="00CA1357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 xml:space="preserve">Lisa 2: </w:t>
      </w:r>
      <w:r w:rsidR="00EB4534" w:rsidRPr="00E602A8">
        <w:rPr>
          <w:color w:val="000000" w:themeColor="text1"/>
          <w:lang w:val="et-EE"/>
        </w:rPr>
        <w:t>E</w:t>
      </w:r>
      <w:r w:rsidR="002B63B4" w:rsidRPr="00E602A8">
        <w:rPr>
          <w:color w:val="000000" w:themeColor="text1"/>
          <w:lang w:val="et-EE"/>
        </w:rPr>
        <w:t>neseanalüüsi hindamise vorm</w:t>
      </w:r>
    </w:p>
    <w:p w14:paraId="02AF6339" w14:textId="77777777" w:rsidR="002B63B4" w:rsidRPr="00E602A8" w:rsidRDefault="002B63B4" w:rsidP="00CA1357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Lisa 3: Vestluse hindamise vorm</w:t>
      </w:r>
    </w:p>
    <w:p w14:paraId="1D7E38C8" w14:textId="4E68D14E" w:rsidR="00911444" w:rsidRDefault="00911444" w:rsidP="00CA1357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Li</w:t>
      </w:r>
      <w:r w:rsidR="006E169E" w:rsidRPr="00E602A8">
        <w:rPr>
          <w:color w:val="000000" w:themeColor="text1"/>
          <w:lang w:val="et-EE"/>
        </w:rPr>
        <w:t>s</w:t>
      </w:r>
      <w:r w:rsidRPr="00E602A8">
        <w:rPr>
          <w:color w:val="000000" w:themeColor="text1"/>
          <w:lang w:val="et-EE"/>
        </w:rPr>
        <w:t xml:space="preserve">a 4: </w:t>
      </w:r>
      <w:r w:rsidR="006E169E" w:rsidRPr="00E602A8">
        <w:rPr>
          <w:color w:val="000000" w:themeColor="text1"/>
          <w:lang w:val="et-EE"/>
        </w:rPr>
        <w:t>Hindamiskomisjoni koondhinnang</w:t>
      </w:r>
    </w:p>
    <w:p w14:paraId="7174F387" w14:textId="071211F5" w:rsidR="00CA299D" w:rsidRPr="00E602A8" w:rsidRDefault="00CA299D" w:rsidP="00CA1357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</w:p>
    <w:p w14:paraId="2EAF7F8D" w14:textId="77777777" w:rsidR="00CA299D" w:rsidRPr="00E602A8" w:rsidRDefault="00CA299D" w:rsidP="00CA1357">
      <w:pPr>
        <w:pStyle w:val="NormalWeb"/>
        <w:spacing w:before="0" w:beforeAutospacing="0" w:after="150" w:afterAutospacing="0"/>
        <w:jc w:val="both"/>
        <w:rPr>
          <w:color w:val="000000" w:themeColor="text1"/>
          <w:lang w:val="et-EE"/>
        </w:rPr>
      </w:pPr>
    </w:p>
    <w:p w14:paraId="6D2D28A7" w14:textId="77777777" w:rsidR="00C22774" w:rsidRDefault="00C22774" w:rsidP="00CA299D">
      <w:pPr>
        <w:spacing w:before="54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</w:p>
    <w:p w14:paraId="76E74F24" w14:textId="1DB2BDEF" w:rsidR="00CA299D" w:rsidRPr="00E602A8" w:rsidRDefault="00CA299D" w:rsidP="00CA299D">
      <w:pPr>
        <w:spacing w:before="54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lastRenderedPageBreak/>
        <w:t xml:space="preserve">Lisa 2. </w:t>
      </w:r>
      <w:r w:rsidR="00E90EDA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E</w:t>
      </w:r>
      <w:r w:rsidRPr="00E602A8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neseanalüüsi hindamise vorm</w:t>
      </w:r>
      <w:r w:rsidRP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t xml:space="preserve"> </w:t>
      </w:r>
    </w:p>
    <w:p w14:paraId="100F9563" w14:textId="7D018F79" w:rsidR="007425AD" w:rsidRDefault="003A4855" w:rsidP="007425AD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>TAOTJEJA</w:t>
      </w:r>
      <w:r w:rsidR="007425AD">
        <w:rPr>
          <w:rFonts w:ascii="Times New Roman" w:eastAsia="Calibri" w:hAnsi="Times New Roman" w:cs="Times New Roman"/>
          <w:sz w:val="24"/>
          <w:szCs w:val="24"/>
          <w:lang w:val="et-EE"/>
        </w:rPr>
        <w:t>:</w:t>
      </w:r>
    </w:p>
    <w:p w14:paraId="3F130420" w14:textId="5DDA6FF6" w:rsidR="00CA299D" w:rsidRPr="00E602A8" w:rsidRDefault="00EB4534" w:rsidP="00CA299D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E</w:t>
      </w:r>
      <w:r w:rsidR="00CA299D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eseanalüüsi </w:t>
      </w:r>
      <w:r w:rsidR="007425AD">
        <w:rPr>
          <w:rFonts w:ascii="Times New Roman" w:eastAsia="Calibri" w:hAnsi="Times New Roman" w:cs="Times New Roman"/>
          <w:sz w:val="24"/>
          <w:szCs w:val="24"/>
          <w:lang w:val="et-EE"/>
        </w:rPr>
        <w:t>(</w:t>
      </w:r>
      <w:r w:rsidR="007425AD" w:rsidRPr="003A4855">
        <w:rPr>
          <w:rFonts w:ascii="Times New Roman" w:eastAsia="Calibri" w:hAnsi="Times New Roman" w:cs="Times New Roman"/>
          <w:i/>
          <w:lang w:val="et-EE"/>
        </w:rPr>
        <w:t>taastõendamisel tööalase tegevuse profiili, töö tulemuslikkuse ja arendustegevuste kirjeldus ning erialase tegevuse perspektiivi kirjeldus</w:t>
      </w:r>
      <w:r w:rsidR="007425AD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) </w:t>
      </w:r>
      <w:r w:rsidR="00CA299D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hindamisel </w:t>
      </w:r>
      <w:r w:rsidR="00AB72D5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iga osa</w:t>
      </w:r>
      <w:r w:rsidR="00CA299D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hinnatakse</w:t>
      </w: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,</w:t>
      </w:r>
      <w:r w:rsidR="00CA299D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kas on täidetud (jah) või ei ole täidetud (ei) ning lisatakse kommentaar.</w:t>
      </w:r>
    </w:p>
    <w:tbl>
      <w:tblPr>
        <w:tblStyle w:val="TableGrid"/>
        <w:tblW w:w="96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709"/>
        <w:gridCol w:w="567"/>
        <w:gridCol w:w="2041"/>
      </w:tblGrid>
      <w:tr w:rsidR="00AB72D5" w:rsidRPr="00E602A8" w14:paraId="53F5BD1A" w14:textId="77777777" w:rsidTr="007F3A94">
        <w:tc>
          <w:tcPr>
            <w:tcW w:w="709" w:type="dxa"/>
            <w:vMerge w:val="restart"/>
          </w:tcPr>
          <w:p w14:paraId="57921BEF" w14:textId="77777777" w:rsidR="00AB72D5" w:rsidRPr="00E602A8" w:rsidRDefault="00AB72D5" w:rsidP="00451B39">
            <w:pPr>
              <w:spacing w:before="54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Jrk</w:t>
            </w:r>
          </w:p>
        </w:tc>
        <w:tc>
          <w:tcPr>
            <w:tcW w:w="5670" w:type="dxa"/>
            <w:vMerge w:val="restart"/>
          </w:tcPr>
          <w:p w14:paraId="1B4697A3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 xml:space="preserve">Kriteerium </w:t>
            </w:r>
          </w:p>
        </w:tc>
        <w:tc>
          <w:tcPr>
            <w:tcW w:w="1276" w:type="dxa"/>
            <w:gridSpan w:val="2"/>
          </w:tcPr>
          <w:p w14:paraId="7E340CB2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Hinnang</w:t>
            </w:r>
          </w:p>
        </w:tc>
        <w:tc>
          <w:tcPr>
            <w:tcW w:w="2041" w:type="dxa"/>
          </w:tcPr>
          <w:p w14:paraId="2DD8099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Hindaja kommentaar</w:t>
            </w:r>
          </w:p>
        </w:tc>
      </w:tr>
      <w:tr w:rsidR="00AB72D5" w:rsidRPr="00E602A8" w14:paraId="2E16EB01" w14:textId="77777777" w:rsidTr="007F3A94">
        <w:tc>
          <w:tcPr>
            <w:tcW w:w="709" w:type="dxa"/>
            <w:vMerge/>
          </w:tcPr>
          <w:p w14:paraId="15646BF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0" w:type="dxa"/>
            <w:vMerge/>
          </w:tcPr>
          <w:p w14:paraId="488E63DB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199997D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Jah</w:t>
            </w:r>
          </w:p>
        </w:tc>
        <w:tc>
          <w:tcPr>
            <w:tcW w:w="567" w:type="dxa"/>
          </w:tcPr>
          <w:p w14:paraId="3462A6F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Ei</w:t>
            </w:r>
          </w:p>
        </w:tc>
        <w:tc>
          <w:tcPr>
            <w:tcW w:w="2041" w:type="dxa"/>
          </w:tcPr>
          <w:p w14:paraId="47AC0A60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23619173" w14:textId="77777777" w:rsidTr="007F3A94">
        <w:trPr>
          <w:trHeight w:val="813"/>
        </w:trPr>
        <w:tc>
          <w:tcPr>
            <w:tcW w:w="709" w:type="dxa"/>
          </w:tcPr>
          <w:p w14:paraId="40424EF1" w14:textId="77777777" w:rsidR="00AB72D5" w:rsidRPr="00E602A8" w:rsidRDefault="00AB72D5" w:rsidP="00CA299D">
            <w:pPr>
              <w:pStyle w:val="ListParagraph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4ADB5BA0" w14:textId="761490FB" w:rsidR="00AB72D5" w:rsidRPr="00E602A8" w:rsidRDefault="00AB72D5" w:rsidP="00AB72D5">
            <w:pPr>
              <w:pStyle w:val="NormalWeb"/>
              <w:spacing w:before="0" w:beforeAutospacing="0" w:after="150" w:afterAutospacing="0"/>
              <w:rPr>
                <w:color w:val="000000" w:themeColor="text1"/>
                <w:lang w:val="et-EE"/>
              </w:rPr>
            </w:pPr>
            <w:r w:rsidRPr="00E602A8">
              <w:rPr>
                <w:color w:val="000000" w:themeColor="text1"/>
                <w:lang w:val="et-EE"/>
              </w:rPr>
              <w:t xml:space="preserve">Tervisttoetavateks muutusteks eelduste ja tingimuste loomine üksikisiku, kogukonna või  ühiskonna tasandil – võimaldamine </w:t>
            </w:r>
            <w:r w:rsidR="00E90EDA">
              <w:rPr>
                <w:color w:val="000000" w:themeColor="text1"/>
                <w:sz w:val="22"/>
                <w:szCs w:val="22"/>
                <w:lang w:val="et-EE"/>
              </w:rPr>
              <w:t>– v</w:t>
            </w:r>
            <w:r w:rsidRPr="00E90EDA">
              <w:rPr>
                <w:color w:val="000000" w:themeColor="text1"/>
                <w:sz w:val="22"/>
                <w:szCs w:val="22"/>
                <w:lang w:val="et-EE"/>
              </w:rPr>
              <w:t>õimaldab ja soodustab eeldusi ja tingimusi üksikisikutel, gruppidel, organisatsioonidel ja rahvastikul arendada tervist edendavate tegevuste suutlikkust ja võimestumist parandamaks oma tervist ja vähendamaks ebavõrdsust tervises;</w:t>
            </w:r>
          </w:p>
        </w:tc>
        <w:tc>
          <w:tcPr>
            <w:tcW w:w="709" w:type="dxa"/>
          </w:tcPr>
          <w:p w14:paraId="5C56EE6D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0E05BB9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0CFB651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45D45439" w14:textId="77777777" w:rsidTr="007F3A94">
        <w:trPr>
          <w:trHeight w:val="813"/>
        </w:trPr>
        <w:tc>
          <w:tcPr>
            <w:tcW w:w="709" w:type="dxa"/>
          </w:tcPr>
          <w:p w14:paraId="7115B2CE" w14:textId="77777777" w:rsidR="00AB72D5" w:rsidRPr="00E602A8" w:rsidRDefault="00AB72D5" w:rsidP="00CA299D">
            <w:pPr>
              <w:pStyle w:val="ListParagraph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6879745B" w14:textId="1D5AA3DA" w:rsidR="00AB72D5" w:rsidRPr="00E602A8" w:rsidRDefault="00AB72D5" w:rsidP="00AB72D5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Tervise eestkoste e. advokeerimine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– seisab üksikisikute, gruppide,  organisatsioonide ja rahvastiku tervise eest parandamaks nende heaolu ja tõstmaks suutlik</w:t>
            </w:r>
            <w:r w:rsidR="006573FB"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kust tervisedenduse tegevusteks;</w:t>
            </w:r>
          </w:p>
        </w:tc>
        <w:tc>
          <w:tcPr>
            <w:tcW w:w="709" w:type="dxa"/>
          </w:tcPr>
          <w:p w14:paraId="1671BA14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23FC3DC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1EDAAABA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7E99751F" w14:textId="77777777" w:rsidTr="007F3A94">
        <w:trPr>
          <w:trHeight w:val="813"/>
        </w:trPr>
        <w:tc>
          <w:tcPr>
            <w:tcW w:w="709" w:type="dxa"/>
          </w:tcPr>
          <w:p w14:paraId="7DAFE073" w14:textId="77777777" w:rsidR="00AB72D5" w:rsidRPr="00E602A8" w:rsidRDefault="00AB72D5" w:rsidP="00CA299D">
            <w:pPr>
              <w:pStyle w:val="ListParagraph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5F42A27F" w14:textId="77777777" w:rsidR="00AB72D5" w:rsidRPr="00E602A8" w:rsidRDefault="00AB72D5" w:rsidP="00AB72D5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Koostöö –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töötab koos partneritega erinevatest distsipliinidest, sektoritest ja vahendab partnerlust võimaldamaks tervist edendavate tegevuste mõju ja jätkusuutlikkust;</w:t>
            </w:r>
          </w:p>
        </w:tc>
        <w:tc>
          <w:tcPr>
            <w:tcW w:w="709" w:type="dxa"/>
          </w:tcPr>
          <w:p w14:paraId="1A60D2C2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0F82102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0BB374E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53D835A4" w14:textId="77777777" w:rsidTr="007F3A94">
        <w:trPr>
          <w:trHeight w:val="813"/>
        </w:trPr>
        <w:tc>
          <w:tcPr>
            <w:tcW w:w="709" w:type="dxa"/>
          </w:tcPr>
          <w:p w14:paraId="602F1BF9" w14:textId="77777777" w:rsidR="00AB72D5" w:rsidRPr="00E602A8" w:rsidRDefault="00AB72D5" w:rsidP="00CA299D">
            <w:pPr>
              <w:pStyle w:val="ListParagraph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0A510716" w14:textId="77777777" w:rsidR="00AB72D5" w:rsidRPr="00E602A8" w:rsidRDefault="00AB72D5" w:rsidP="00AB72D5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Kommunikatsioon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– võtab vastu ja levitab tervist edendavate tegevuste ja tervisevaldkonna informatsiooni kasutades erinevates gruppides sobivaid tehnikaid ja tehnoloogiaid;</w:t>
            </w:r>
          </w:p>
        </w:tc>
        <w:tc>
          <w:tcPr>
            <w:tcW w:w="709" w:type="dxa"/>
          </w:tcPr>
          <w:p w14:paraId="6189927C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75C5816D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35031F6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7A878802" w14:textId="77777777" w:rsidTr="007F3A94">
        <w:trPr>
          <w:trHeight w:val="813"/>
        </w:trPr>
        <w:tc>
          <w:tcPr>
            <w:tcW w:w="709" w:type="dxa"/>
          </w:tcPr>
          <w:p w14:paraId="288EA727" w14:textId="77777777" w:rsidR="00AB72D5" w:rsidRPr="00E602A8" w:rsidRDefault="00AB72D5" w:rsidP="00CA299D">
            <w:pPr>
              <w:pStyle w:val="ListParagraph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03AF3D17" w14:textId="77777777" w:rsidR="00AB72D5" w:rsidRPr="00E602A8" w:rsidRDefault="00AB72D5" w:rsidP="00AB72D5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t-EE"/>
              </w:rPr>
              <w:t>J</w:t>
            </w: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uhtimine</w:t>
            </w:r>
            <w:r w:rsidRPr="00E602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  <w:t> </w:t>
            </w: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–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panustab liidrina tervisedenduses jagatud visiooni arendamisse, strateegiliste suundade väljatöötamisse ja oskuslikku meeskonnatöösse;</w:t>
            </w:r>
          </w:p>
        </w:tc>
        <w:tc>
          <w:tcPr>
            <w:tcW w:w="709" w:type="dxa"/>
          </w:tcPr>
          <w:p w14:paraId="74C75E7D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1F80D80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2CEC265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1247BE7C" w14:textId="77777777" w:rsidTr="007F3A94">
        <w:trPr>
          <w:trHeight w:val="813"/>
        </w:trPr>
        <w:tc>
          <w:tcPr>
            <w:tcW w:w="709" w:type="dxa"/>
          </w:tcPr>
          <w:p w14:paraId="3C799B9B" w14:textId="77777777" w:rsidR="00AB72D5" w:rsidRPr="00E602A8" w:rsidRDefault="00AB72D5" w:rsidP="00CA299D">
            <w:pPr>
              <w:pStyle w:val="ListParagraph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20534BEC" w14:textId="77777777" w:rsidR="00AB72D5" w:rsidRPr="00E602A8" w:rsidRDefault="00AB72D5" w:rsidP="00AB72D5">
            <w:pPr>
              <w:pStyle w:val="NormalWeb"/>
              <w:spacing w:before="0" w:beforeAutospacing="0" w:after="150" w:afterAutospacing="0"/>
              <w:rPr>
                <w:rFonts w:eastAsia="Calibri"/>
                <w:lang w:val="et-EE"/>
              </w:rPr>
            </w:pPr>
            <w:r w:rsidRPr="00E602A8">
              <w:rPr>
                <w:color w:val="000000" w:themeColor="text1"/>
                <w:lang w:val="et-EE"/>
              </w:rPr>
              <w:t xml:space="preserve">Vajaduste ja ressursside analüüsimine </w:t>
            </w:r>
            <w:r w:rsidRPr="00E90EDA">
              <w:rPr>
                <w:color w:val="000000" w:themeColor="text1"/>
                <w:sz w:val="22"/>
                <w:szCs w:val="22"/>
                <w:lang w:val="et-EE"/>
              </w:rPr>
              <w:t>–  analüüsib partnerluses asjaosalistega vajadusi ja ressursse poliitliste, majanduslike, sotsiaalsete, kultuuriliste, keskkondlike, käitumuslike ja bioloogiliste tervisemõjurite valdkonnas;</w:t>
            </w:r>
          </w:p>
        </w:tc>
        <w:tc>
          <w:tcPr>
            <w:tcW w:w="709" w:type="dxa"/>
          </w:tcPr>
          <w:p w14:paraId="36946292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7596399A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1F2CBC7D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4C7FBFD4" w14:textId="77777777" w:rsidTr="007F3A94">
        <w:trPr>
          <w:trHeight w:val="813"/>
        </w:trPr>
        <w:tc>
          <w:tcPr>
            <w:tcW w:w="709" w:type="dxa"/>
          </w:tcPr>
          <w:p w14:paraId="656361ED" w14:textId="77777777" w:rsidR="00AB72D5" w:rsidRPr="00E602A8" w:rsidRDefault="00AB72D5" w:rsidP="00CA299D">
            <w:pPr>
              <w:pStyle w:val="ListParagraph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30B0BADB" w14:textId="77777777" w:rsidR="00AB72D5" w:rsidRPr="00E602A8" w:rsidRDefault="00AB72D5" w:rsidP="00AB72D5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Planeerimine 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– arendab partnerluses asjaosalistega mõõdetavad tervisedenduse eesmärke, mis põhinevad vajaduste ja ressursside analüüsil;</w:t>
            </w:r>
          </w:p>
        </w:tc>
        <w:tc>
          <w:tcPr>
            <w:tcW w:w="709" w:type="dxa"/>
          </w:tcPr>
          <w:p w14:paraId="06FD43C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3D1D98BC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337938AB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1EA397AD" w14:textId="77777777" w:rsidTr="007F3A94">
        <w:trPr>
          <w:trHeight w:val="813"/>
        </w:trPr>
        <w:tc>
          <w:tcPr>
            <w:tcW w:w="709" w:type="dxa"/>
          </w:tcPr>
          <w:p w14:paraId="5BEEFB56" w14:textId="77777777" w:rsidR="00AB72D5" w:rsidRPr="00E602A8" w:rsidRDefault="00AB72D5" w:rsidP="00CA299D">
            <w:pPr>
              <w:pStyle w:val="ListParagraph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7A2CEB7B" w14:textId="77777777" w:rsidR="00AB72D5" w:rsidRPr="00E602A8" w:rsidRDefault="00AB72D5" w:rsidP="00AB72D5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Tervistedendavate tegevuste elluviimine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— viib ellu partnerluses asjaosalistega tulemuslikke ja tõhusaid, kultuuriliselt tundlikke ja eetilisi tervist edendavaid tegevusi;</w:t>
            </w:r>
          </w:p>
        </w:tc>
        <w:tc>
          <w:tcPr>
            <w:tcW w:w="709" w:type="dxa"/>
          </w:tcPr>
          <w:p w14:paraId="2852B45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07DD1B64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48707E21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43BF11FF" w14:textId="77777777" w:rsidTr="00E90EDA">
        <w:trPr>
          <w:trHeight w:val="916"/>
        </w:trPr>
        <w:tc>
          <w:tcPr>
            <w:tcW w:w="709" w:type="dxa"/>
          </w:tcPr>
          <w:p w14:paraId="04FE799B" w14:textId="77777777" w:rsidR="00AB72D5" w:rsidRPr="00E602A8" w:rsidRDefault="00AB72D5" w:rsidP="00CA299D">
            <w:pPr>
              <w:pStyle w:val="ListParagraph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318BD3CD" w14:textId="77777777" w:rsidR="00AB72D5" w:rsidRPr="00E602A8" w:rsidRDefault="00AB72D5" w:rsidP="00AB72D5">
            <w:pP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Hindamine ja uuringute teostamine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– kasutab partnerluses asjaosalistega sobivaid hindamis ja uuringumeetodeid määratlemaks tervist edendavate tegevuste ulatust, mõju ja tulemuslikkust.</w:t>
            </w:r>
          </w:p>
        </w:tc>
        <w:tc>
          <w:tcPr>
            <w:tcW w:w="709" w:type="dxa"/>
          </w:tcPr>
          <w:p w14:paraId="5C49248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7D0C478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5B2208F9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4223FCD" w14:textId="2751706C" w:rsidR="00CA299D" w:rsidRPr="007425AD" w:rsidRDefault="007425AD" w:rsidP="007425AD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>Taastõendamise korral -</w:t>
      </w:r>
      <w:r w:rsidR="00E90EDA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kutsuda </w:t>
      </w:r>
      <w:r w:rsidR="00E90EDA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vestlusele:  jah  </w:t>
      </w:r>
      <w:r w:rsidR="00E90EDA" w:rsidRPr="00E602A8">
        <w:rPr>
          <w:rFonts w:ascii="Segoe UI Symbol" w:eastAsia="Calibri" w:hAnsi="Segoe UI Symbol" w:cs="Segoe UI Symbol"/>
          <w:sz w:val="24"/>
          <w:szCs w:val="24"/>
          <w:lang w:val="et-EE"/>
        </w:rPr>
        <w:t>☐</w:t>
      </w:r>
      <w:r w:rsidR="00E90EDA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ei  </w:t>
      </w:r>
      <w:r w:rsidR="00E90EDA" w:rsidRPr="00E602A8">
        <w:rPr>
          <w:rFonts w:ascii="Segoe UI Symbol" w:eastAsia="Calibri" w:hAnsi="Segoe UI Symbol" w:cs="Segoe UI Symbol"/>
          <w:sz w:val="24"/>
          <w:szCs w:val="24"/>
          <w:lang w:val="et-EE"/>
        </w:rPr>
        <w:t>☐</w:t>
      </w:r>
    </w:p>
    <w:p w14:paraId="2C79C39F" w14:textId="4A2C410A" w:rsidR="007F3A94" w:rsidRDefault="007F3A94" w:rsidP="007F3A94">
      <w:pPr>
        <w:spacing w:before="54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>Hindamiskomisjoni liige</w:t>
      </w: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:  </w:t>
      </w:r>
      <w:r>
        <w:rPr>
          <w:rFonts w:ascii="Times New Roman" w:eastAsia="Calibri" w:hAnsi="Times New Roman" w:cs="Times New Roman"/>
          <w:b/>
          <w:sz w:val="24"/>
          <w:szCs w:val="24"/>
          <w:lang w:val="et-EE"/>
        </w:rPr>
        <w:br w:type="page"/>
      </w:r>
    </w:p>
    <w:p w14:paraId="00F65EFD" w14:textId="1913ED0D" w:rsidR="00AB72D5" w:rsidRPr="00E602A8" w:rsidRDefault="00AB72D5" w:rsidP="00AB72D5">
      <w:pPr>
        <w:spacing w:before="54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lastRenderedPageBreak/>
        <w:t xml:space="preserve">Lisa 3. </w:t>
      </w:r>
      <w:r w:rsidRPr="00E602A8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Vestluse hindamise vorm</w:t>
      </w:r>
      <w:r w:rsidRP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t xml:space="preserve"> </w:t>
      </w:r>
    </w:p>
    <w:p w14:paraId="79562C00" w14:textId="3C63F3B4" w:rsidR="007425AD" w:rsidRDefault="003A4855" w:rsidP="00AB72D5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>TAOTJEJA</w:t>
      </w:r>
      <w:r w:rsidR="007425AD">
        <w:rPr>
          <w:rFonts w:ascii="Times New Roman" w:eastAsia="Calibri" w:hAnsi="Times New Roman" w:cs="Times New Roman"/>
          <w:sz w:val="24"/>
          <w:szCs w:val="24"/>
          <w:lang w:val="et-EE"/>
        </w:rPr>
        <w:t>:</w:t>
      </w:r>
    </w:p>
    <w:p w14:paraId="06A6B647" w14:textId="4F2FD6F4" w:rsidR="00AB72D5" w:rsidRPr="00E602A8" w:rsidRDefault="00AB72D5" w:rsidP="00AB72D5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Vestluse hindamisel iga osa hinnatakse </w:t>
      </w:r>
      <w:r w:rsidR="007F3A94">
        <w:rPr>
          <w:rFonts w:ascii="Times New Roman" w:eastAsia="Calibri" w:hAnsi="Times New Roman" w:cs="Times New Roman"/>
          <w:sz w:val="24"/>
          <w:szCs w:val="24"/>
          <w:lang w:val="et-EE"/>
        </w:rPr>
        <w:t>täiendavalt kõigi osade kohta -</w:t>
      </w: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kas on täidetud</w:t>
      </w:r>
      <w:r w:rsid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– täpsustades eneseanalüüsis toodut -</w:t>
      </w: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(jah) või ei ole täidetud (ei) ning lisatakse kommentaar.</w:t>
      </w:r>
    </w:p>
    <w:tbl>
      <w:tblPr>
        <w:tblStyle w:val="TableGrid"/>
        <w:tblW w:w="96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708"/>
        <w:gridCol w:w="709"/>
        <w:gridCol w:w="2183"/>
      </w:tblGrid>
      <w:tr w:rsidR="00AB72D5" w:rsidRPr="00E602A8" w14:paraId="64212DBB" w14:textId="77777777" w:rsidTr="007F3A94">
        <w:tc>
          <w:tcPr>
            <w:tcW w:w="709" w:type="dxa"/>
            <w:vMerge w:val="restart"/>
          </w:tcPr>
          <w:p w14:paraId="44AB7545" w14:textId="77777777" w:rsidR="00AB72D5" w:rsidRPr="00E602A8" w:rsidRDefault="00AB72D5" w:rsidP="00451B39">
            <w:pPr>
              <w:spacing w:before="54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Jrk</w:t>
            </w:r>
          </w:p>
        </w:tc>
        <w:tc>
          <w:tcPr>
            <w:tcW w:w="5387" w:type="dxa"/>
            <w:vMerge w:val="restart"/>
          </w:tcPr>
          <w:p w14:paraId="00BEB53D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 xml:space="preserve">Kriteerium </w:t>
            </w:r>
          </w:p>
        </w:tc>
        <w:tc>
          <w:tcPr>
            <w:tcW w:w="1417" w:type="dxa"/>
            <w:gridSpan w:val="2"/>
          </w:tcPr>
          <w:p w14:paraId="2F3B9F3B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Hinnang</w:t>
            </w:r>
          </w:p>
        </w:tc>
        <w:tc>
          <w:tcPr>
            <w:tcW w:w="2183" w:type="dxa"/>
          </w:tcPr>
          <w:p w14:paraId="1D586B82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Hindaja kommentaar</w:t>
            </w:r>
          </w:p>
        </w:tc>
      </w:tr>
      <w:tr w:rsidR="00AB72D5" w:rsidRPr="00E602A8" w14:paraId="628A153E" w14:textId="77777777" w:rsidTr="007F3A94">
        <w:tc>
          <w:tcPr>
            <w:tcW w:w="709" w:type="dxa"/>
            <w:vMerge/>
          </w:tcPr>
          <w:p w14:paraId="67E45CC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387" w:type="dxa"/>
            <w:vMerge/>
          </w:tcPr>
          <w:p w14:paraId="3EC8076C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8" w:type="dxa"/>
          </w:tcPr>
          <w:p w14:paraId="1AD19ED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Jah</w:t>
            </w:r>
          </w:p>
        </w:tc>
        <w:tc>
          <w:tcPr>
            <w:tcW w:w="709" w:type="dxa"/>
          </w:tcPr>
          <w:p w14:paraId="76C85BF3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Ei</w:t>
            </w:r>
          </w:p>
        </w:tc>
        <w:tc>
          <w:tcPr>
            <w:tcW w:w="2183" w:type="dxa"/>
          </w:tcPr>
          <w:p w14:paraId="7F7C670B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4B8DF179" w14:textId="77777777" w:rsidTr="007F3A94">
        <w:trPr>
          <w:trHeight w:val="2218"/>
        </w:trPr>
        <w:tc>
          <w:tcPr>
            <w:tcW w:w="709" w:type="dxa"/>
          </w:tcPr>
          <w:p w14:paraId="665DDC4A" w14:textId="77777777" w:rsidR="00AB72D5" w:rsidRPr="00E602A8" w:rsidRDefault="00AB72D5" w:rsidP="00AB72D5">
            <w:pPr>
              <w:pStyle w:val="ListParagraph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39D8EAE2" w14:textId="12CA5D68" w:rsidR="00AB72D5" w:rsidRPr="00E602A8" w:rsidRDefault="00AB72D5" w:rsidP="00451B39">
            <w:pPr>
              <w:pStyle w:val="NormalWeb"/>
              <w:spacing w:before="0" w:beforeAutospacing="0" w:after="150" w:afterAutospacing="0"/>
              <w:jc w:val="both"/>
              <w:rPr>
                <w:color w:val="000000" w:themeColor="text1"/>
                <w:lang w:val="et-EE"/>
              </w:rPr>
            </w:pPr>
            <w:r w:rsidRPr="00E602A8">
              <w:rPr>
                <w:color w:val="000000" w:themeColor="text1"/>
                <w:lang w:val="et-EE"/>
              </w:rPr>
              <w:t xml:space="preserve">Tervisttoetavateks muutusteks eelduste ja tingimuste loomine üksikisiku, kogukonna või  ühiskonna tasandil – võimaldamine – </w:t>
            </w:r>
            <w:r w:rsidR="00E90EDA">
              <w:rPr>
                <w:color w:val="000000" w:themeColor="text1"/>
                <w:sz w:val="22"/>
                <w:szCs w:val="22"/>
                <w:lang w:val="et-EE"/>
              </w:rPr>
              <w:t>v</w:t>
            </w:r>
            <w:r w:rsidRPr="00E90EDA">
              <w:rPr>
                <w:color w:val="000000" w:themeColor="text1"/>
                <w:sz w:val="22"/>
                <w:szCs w:val="22"/>
                <w:lang w:val="et-EE"/>
              </w:rPr>
              <w:t>õimaldab ja soodustab eeldusi ja tingimusi üksikisikutel, gruppidel, organisatsioonidel ja rahvastikul arendada tervist edendavate tegevuste suutlikkust ja võimestumist parandamaks oma tervist ja vähendamaks ebavõrdsust tervises;</w:t>
            </w:r>
          </w:p>
        </w:tc>
        <w:tc>
          <w:tcPr>
            <w:tcW w:w="708" w:type="dxa"/>
          </w:tcPr>
          <w:p w14:paraId="51B7BE6F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11119C77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6BAC4989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1C236DA4" w14:textId="77777777" w:rsidTr="007F3A94">
        <w:trPr>
          <w:trHeight w:val="813"/>
        </w:trPr>
        <w:tc>
          <w:tcPr>
            <w:tcW w:w="709" w:type="dxa"/>
          </w:tcPr>
          <w:p w14:paraId="1F758D98" w14:textId="77777777" w:rsidR="00AB72D5" w:rsidRPr="00E602A8" w:rsidRDefault="00AB72D5" w:rsidP="00AB72D5">
            <w:pPr>
              <w:pStyle w:val="ListParagraph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7BC5C380" w14:textId="32103B2E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Tervise eestkoste e. advokeerimine –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seisab üksikisikute, gruppide,  organisatsioonide ja rahvastiku tervise eest parandamaks nende heaolu ja tõstmaks suutlik</w:t>
            </w:r>
            <w:r w:rsidR="006573FB"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kust tervisedenduse tegevusteks;</w:t>
            </w:r>
          </w:p>
        </w:tc>
        <w:tc>
          <w:tcPr>
            <w:tcW w:w="708" w:type="dxa"/>
          </w:tcPr>
          <w:p w14:paraId="6CEA0A0C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699054A2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610BC8C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6CBAE3EF" w14:textId="77777777" w:rsidTr="007F3A94">
        <w:trPr>
          <w:trHeight w:val="813"/>
        </w:trPr>
        <w:tc>
          <w:tcPr>
            <w:tcW w:w="709" w:type="dxa"/>
          </w:tcPr>
          <w:p w14:paraId="1631E826" w14:textId="77777777" w:rsidR="00AB72D5" w:rsidRPr="00E602A8" w:rsidRDefault="00AB72D5" w:rsidP="00AB72D5">
            <w:pPr>
              <w:pStyle w:val="ListParagraph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13A3BCCB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Koostöö –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töötab koos partneritega erinevatest distsipliinidest, sektoritest ja vahendab partnerlust võimaldamaks tervist edendavate tegevuste mõju ja jätkusuutlikkust;</w:t>
            </w:r>
          </w:p>
        </w:tc>
        <w:tc>
          <w:tcPr>
            <w:tcW w:w="708" w:type="dxa"/>
          </w:tcPr>
          <w:p w14:paraId="0B8E7A10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73ED61C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74CCB7FA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7C2E5BD9" w14:textId="77777777" w:rsidTr="007F3A94">
        <w:trPr>
          <w:trHeight w:val="813"/>
        </w:trPr>
        <w:tc>
          <w:tcPr>
            <w:tcW w:w="709" w:type="dxa"/>
          </w:tcPr>
          <w:p w14:paraId="58C73A3D" w14:textId="77777777" w:rsidR="00AB72D5" w:rsidRPr="00E602A8" w:rsidRDefault="00AB72D5" w:rsidP="00AB72D5">
            <w:pPr>
              <w:pStyle w:val="ListParagraph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6E121E1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Kommunikatsioon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– võtab vastu ja levitab tervist edendavate tegevuste ja tervisevaldkonna informatsiooni kasutades erinevates gruppides sobivaid tehnikaid ja tehnoloogiaid;</w:t>
            </w:r>
          </w:p>
        </w:tc>
        <w:tc>
          <w:tcPr>
            <w:tcW w:w="708" w:type="dxa"/>
          </w:tcPr>
          <w:p w14:paraId="4819095C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0388E079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3518317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21AB0397" w14:textId="77777777" w:rsidTr="007F3A94">
        <w:trPr>
          <w:trHeight w:val="813"/>
        </w:trPr>
        <w:tc>
          <w:tcPr>
            <w:tcW w:w="709" w:type="dxa"/>
          </w:tcPr>
          <w:p w14:paraId="198687D3" w14:textId="77777777" w:rsidR="00AB72D5" w:rsidRPr="00E602A8" w:rsidRDefault="00AB72D5" w:rsidP="00AB72D5">
            <w:pPr>
              <w:pStyle w:val="ListParagraph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5915640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t-EE"/>
              </w:rPr>
              <w:t>J</w:t>
            </w: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uhtimine</w:t>
            </w:r>
            <w:r w:rsidRPr="00E602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  <w:t> 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– panustab liidrina tervisedenduses jagatud visiooni arendamisse, strateegiliste suundade väljatöötamisse ja oskuslikku meeskonnatöösse;</w:t>
            </w:r>
          </w:p>
        </w:tc>
        <w:tc>
          <w:tcPr>
            <w:tcW w:w="708" w:type="dxa"/>
          </w:tcPr>
          <w:p w14:paraId="24AB00C4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4F4916B9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41F9A7E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26D8CCF0" w14:textId="77777777" w:rsidTr="007F3A94">
        <w:trPr>
          <w:trHeight w:val="813"/>
        </w:trPr>
        <w:tc>
          <w:tcPr>
            <w:tcW w:w="709" w:type="dxa"/>
          </w:tcPr>
          <w:p w14:paraId="38B573F3" w14:textId="77777777" w:rsidR="00AB72D5" w:rsidRPr="00E602A8" w:rsidRDefault="00AB72D5" w:rsidP="00AB72D5">
            <w:pPr>
              <w:pStyle w:val="ListParagraph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242DFEAE" w14:textId="77777777" w:rsidR="00AB72D5" w:rsidRPr="00E602A8" w:rsidRDefault="00AB72D5" w:rsidP="00451B39">
            <w:pPr>
              <w:pStyle w:val="NormalWeb"/>
              <w:spacing w:before="0" w:beforeAutospacing="0" w:after="150" w:afterAutospacing="0"/>
              <w:jc w:val="both"/>
              <w:rPr>
                <w:rFonts w:eastAsia="Calibri"/>
                <w:lang w:val="et-EE"/>
              </w:rPr>
            </w:pPr>
            <w:r w:rsidRPr="00E602A8">
              <w:rPr>
                <w:color w:val="000000" w:themeColor="text1"/>
                <w:lang w:val="et-EE"/>
              </w:rPr>
              <w:t>Vajaduste ja ressursside analüüsimine –</w:t>
            </w:r>
            <w:r w:rsidRPr="00E90EDA">
              <w:rPr>
                <w:color w:val="000000" w:themeColor="text1"/>
                <w:sz w:val="22"/>
                <w:szCs w:val="22"/>
                <w:lang w:val="et-EE"/>
              </w:rPr>
              <w:t>  analüüsib partnerluses asjaosalistega vajadusi ja ressursse poliitliste, majanduslike, sotsiaalsete, kultuuriliste, keskkondlike, käitumuslike ja bioloogiliste tervisemõjurite valdkonnas;</w:t>
            </w:r>
          </w:p>
        </w:tc>
        <w:tc>
          <w:tcPr>
            <w:tcW w:w="708" w:type="dxa"/>
          </w:tcPr>
          <w:p w14:paraId="1390250B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1BE9C39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7200E18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3F4449EB" w14:textId="77777777" w:rsidTr="007F3A94">
        <w:trPr>
          <w:trHeight w:val="813"/>
        </w:trPr>
        <w:tc>
          <w:tcPr>
            <w:tcW w:w="709" w:type="dxa"/>
          </w:tcPr>
          <w:p w14:paraId="663AE562" w14:textId="77777777" w:rsidR="00AB72D5" w:rsidRPr="00E602A8" w:rsidRDefault="00AB72D5" w:rsidP="00AB72D5">
            <w:pPr>
              <w:pStyle w:val="ListParagraph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7C7EC467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Planeerimine  –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arendab partnerluses asjaosalistega mõõdetavad tervisedenduse eesmärke, mis põhinevad vajaduste ja ressursside analüüsil;</w:t>
            </w:r>
          </w:p>
        </w:tc>
        <w:tc>
          <w:tcPr>
            <w:tcW w:w="708" w:type="dxa"/>
          </w:tcPr>
          <w:p w14:paraId="2641A18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3EDE6021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741AB2A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701F6CB4" w14:textId="77777777" w:rsidTr="007F3A94">
        <w:trPr>
          <w:trHeight w:val="813"/>
        </w:trPr>
        <w:tc>
          <w:tcPr>
            <w:tcW w:w="709" w:type="dxa"/>
          </w:tcPr>
          <w:p w14:paraId="39D49E74" w14:textId="77777777" w:rsidR="00AB72D5" w:rsidRPr="00E602A8" w:rsidRDefault="00AB72D5" w:rsidP="00AB72D5">
            <w:pPr>
              <w:pStyle w:val="ListParagraph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2CCF9911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Tervistedendavate tegevuste elluviimine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— viib ellu partnerluses asjaosalistega tulemuslikke ja tõhusaid, kultuuriliselt tundlikke ja eetilisi tervist edendavaid tegevusi;</w:t>
            </w:r>
          </w:p>
        </w:tc>
        <w:tc>
          <w:tcPr>
            <w:tcW w:w="708" w:type="dxa"/>
          </w:tcPr>
          <w:p w14:paraId="332FDB3F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4DFAD0F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2A2F3560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5B926193" w14:textId="77777777" w:rsidTr="007F3A94">
        <w:trPr>
          <w:trHeight w:val="813"/>
        </w:trPr>
        <w:tc>
          <w:tcPr>
            <w:tcW w:w="709" w:type="dxa"/>
          </w:tcPr>
          <w:p w14:paraId="009A2483" w14:textId="77777777" w:rsidR="00AB72D5" w:rsidRPr="00E602A8" w:rsidRDefault="00AB72D5" w:rsidP="00AB72D5">
            <w:pPr>
              <w:pStyle w:val="ListParagraph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34777774" w14:textId="77777777" w:rsidR="00AB72D5" w:rsidRPr="00E602A8" w:rsidRDefault="00AB72D5" w:rsidP="00451B39">
            <w:pP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Hindamine ja uuringute teostamine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– kasutab partnerluses asjaosalistega sobivaid hindamis ja uuringumeetodeid määratlemaks tervist edendavate tegevuste ulatust, mõju ja tulemuslikkust.</w:t>
            </w:r>
          </w:p>
        </w:tc>
        <w:tc>
          <w:tcPr>
            <w:tcW w:w="708" w:type="dxa"/>
          </w:tcPr>
          <w:p w14:paraId="662E6A04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1DA60EBC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068FF40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CB46498" w14:textId="77777777" w:rsidR="00E90EDA" w:rsidRDefault="00E90EDA" w:rsidP="007F3A94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249A7971" w14:textId="50BEA45D" w:rsidR="00E602A8" w:rsidRPr="007F3A94" w:rsidRDefault="007F3A94" w:rsidP="007F3A94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>Hindamiskomisjoni liige</w:t>
      </w: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:  </w:t>
      </w:r>
      <w:r w:rsid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br w:type="page"/>
      </w:r>
    </w:p>
    <w:p w14:paraId="7A83E275" w14:textId="2A6F469C" w:rsidR="002E076D" w:rsidRPr="00E602A8" w:rsidRDefault="007F3A94" w:rsidP="00E602A8">
      <w:pPr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t-EE"/>
        </w:rPr>
        <w:lastRenderedPageBreak/>
        <w:t>Lisa 4</w:t>
      </w:r>
      <w:r w:rsidR="002E076D" w:rsidRP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t>. Hindamiskomisjoni koondhinnang</w:t>
      </w:r>
    </w:p>
    <w:p w14:paraId="3093A51B" w14:textId="2DB54876" w:rsidR="002E076D" w:rsidRPr="00E602A8" w:rsidRDefault="003A4855" w:rsidP="002E076D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>TAOTLEJA</w:t>
      </w:r>
      <w:r w:rsidR="002E076D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: </w:t>
      </w:r>
    </w:p>
    <w:p w14:paraId="2FBA0A5C" w14:textId="75931BC5" w:rsidR="002E076D" w:rsidRPr="00E602A8" w:rsidRDefault="0090014C" w:rsidP="002E076D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Esmane tõendamine/taastõendamine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1127"/>
        <w:gridCol w:w="1207"/>
        <w:gridCol w:w="1313"/>
        <w:gridCol w:w="1593"/>
        <w:gridCol w:w="1573"/>
      </w:tblGrid>
      <w:tr w:rsidR="007F3A94" w:rsidRPr="00E602A8" w14:paraId="752DB410" w14:textId="77777777" w:rsidTr="00CD7169">
        <w:tc>
          <w:tcPr>
            <w:tcW w:w="1803" w:type="dxa"/>
          </w:tcPr>
          <w:p w14:paraId="0F2C4185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Kriteerium</w:t>
            </w:r>
          </w:p>
        </w:tc>
        <w:tc>
          <w:tcPr>
            <w:tcW w:w="1169" w:type="dxa"/>
          </w:tcPr>
          <w:p w14:paraId="2FDA337B" w14:textId="77777777" w:rsidR="0090014C" w:rsidRPr="00E602A8" w:rsidRDefault="0090014C" w:rsidP="00A70F7E">
            <w:pPr>
              <w:spacing w:before="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I hindaja</w:t>
            </w:r>
          </w:p>
        </w:tc>
        <w:tc>
          <w:tcPr>
            <w:tcW w:w="1276" w:type="dxa"/>
          </w:tcPr>
          <w:p w14:paraId="60F5B6F2" w14:textId="77777777" w:rsidR="0090014C" w:rsidRPr="00E602A8" w:rsidRDefault="0090014C" w:rsidP="00A70F7E">
            <w:pPr>
              <w:spacing w:before="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II hi</w:t>
            </w:r>
            <w:bookmarkStart w:id="0" w:name="_GoBack"/>
            <w:bookmarkEnd w:id="0"/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ndaja</w:t>
            </w:r>
          </w:p>
        </w:tc>
        <w:tc>
          <w:tcPr>
            <w:tcW w:w="1417" w:type="dxa"/>
          </w:tcPr>
          <w:p w14:paraId="4D7843C5" w14:textId="77777777" w:rsidR="0090014C" w:rsidRPr="00E602A8" w:rsidRDefault="0090014C" w:rsidP="00A70F7E">
            <w:pPr>
              <w:spacing w:before="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III hindaja</w:t>
            </w:r>
          </w:p>
        </w:tc>
        <w:tc>
          <w:tcPr>
            <w:tcW w:w="1675" w:type="dxa"/>
          </w:tcPr>
          <w:p w14:paraId="19CCBEF3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Kokkuvõte</w:t>
            </w:r>
          </w:p>
        </w:tc>
        <w:tc>
          <w:tcPr>
            <w:tcW w:w="1676" w:type="dxa"/>
          </w:tcPr>
          <w:p w14:paraId="5EC636B5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Märkused</w:t>
            </w:r>
          </w:p>
        </w:tc>
      </w:tr>
      <w:tr w:rsidR="007F3A94" w:rsidRPr="00E602A8" w14:paraId="2F2790D6" w14:textId="77777777" w:rsidTr="00CD7169">
        <w:tc>
          <w:tcPr>
            <w:tcW w:w="1803" w:type="dxa"/>
          </w:tcPr>
          <w:p w14:paraId="7561C2BE" w14:textId="4BB4EE2D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t-EE"/>
              </w:rPr>
            </w:pPr>
          </w:p>
        </w:tc>
        <w:tc>
          <w:tcPr>
            <w:tcW w:w="1169" w:type="dxa"/>
          </w:tcPr>
          <w:p w14:paraId="4278F9D2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</w:tcPr>
          <w:p w14:paraId="3614BE70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54DA9DA9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5" w:type="dxa"/>
          </w:tcPr>
          <w:p w14:paraId="61DF4777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6" w:type="dxa"/>
          </w:tcPr>
          <w:p w14:paraId="4DC58FB9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7F3A94" w:rsidRPr="00E602A8" w14:paraId="155D2565" w14:textId="77777777" w:rsidTr="00CD7169">
        <w:tc>
          <w:tcPr>
            <w:tcW w:w="1803" w:type="dxa"/>
          </w:tcPr>
          <w:p w14:paraId="1BEC3969" w14:textId="772202A5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t-EE"/>
              </w:rPr>
              <w:t xml:space="preserve">Eneseanalüüsi* alusel on </w:t>
            </w:r>
            <w:r w:rsidR="00E60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t-EE"/>
              </w:rPr>
              <w:t>kompetentsid täidetud</w:t>
            </w:r>
          </w:p>
        </w:tc>
        <w:tc>
          <w:tcPr>
            <w:tcW w:w="1169" w:type="dxa"/>
          </w:tcPr>
          <w:p w14:paraId="5063388D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</w:tcPr>
          <w:p w14:paraId="097D5709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2880B7A2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5" w:type="dxa"/>
          </w:tcPr>
          <w:p w14:paraId="6D1180A4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6" w:type="dxa"/>
          </w:tcPr>
          <w:p w14:paraId="5380F5A9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7F3A94" w:rsidRPr="00E602A8" w14:paraId="6AE6314A" w14:textId="77777777" w:rsidTr="00CD7169">
        <w:tc>
          <w:tcPr>
            <w:tcW w:w="1803" w:type="dxa"/>
          </w:tcPr>
          <w:p w14:paraId="317054BB" w14:textId="6ECC6D06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t-EE"/>
              </w:rPr>
              <w:t xml:space="preserve">Vestluse alusel on </w:t>
            </w:r>
            <w:r w:rsidR="00E60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t-EE"/>
              </w:rPr>
              <w:t xml:space="preserve"> kompetentsid täidetud</w:t>
            </w:r>
          </w:p>
        </w:tc>
        <w:tc>
          <w:tcPr>
            <w:tcW w:w="1169" w:type="dxa"/>
          </w:tcPr>
          <w:p w14:paraId="3D6F56E3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</w:tcPr>
          <w:p w14:paraId="73650AD8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065DEC25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5" w:type="dxa"/>
          </w:tcPr>
          <w:p w14:paraId="5C38FBAA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6" w:type="dxa"/>
          </w:tcPr>
          <w:p w14:paraId="111B99C1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7F3A94" w:rsidRPr="00E602A8" w14:paraId="54408465" w14:textId="77777777" w:rsidTr="00CD7169">
        <w:tc>
          <w:tcPr>
            <w:tcW w:w="1803" w:type="dxa"/>
          </w:tcPr>
          <w:p w14:paraId="1BFDDC38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KOONDHINNANG (täidetud/mitte täidetud)</w:t>
            </w:r>
          </w:p>
        </w:tc>
        <w:tc>
          <w:tcPr>
            <w:tcW w:w="1169" w:type="dxa"/>
          </w:tcPr>
          <w:p w14:paraId="74F61F64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</w:tcPr>
          <w:p w14:paraId="211F315F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44B5CEAC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5" w:type="dxa"/>
          </w:tcPr>
          <w:p w14:paraId="0DC66911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6" w:type="dxa"/>
          </w:tcPr>
          <w:p w14:paraId="0FB956B8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A23EF55" w14:textId="77777777" w:rsidR="0090014C" w:rsidRPr="003A4855" w:rsidRDefault="0090014C" w:rsidP="0090014C">
      <w:pPr>
        <w:spacing w:before="54"/>
        <w:rPr>
          <w:rFonts w:ascii="Times New Roman" w:eastAsia="Calibri" w:hAnsi="Times New Roman" w:cs="Times New Roman"/>
          <w:lang w:val="et-EE"/>
        </w:rPr>
      </w:pPr>
      <w:r w:rsidRPr="003A4855">
        <w:rPr>
          <w:rFonts w:ascii="Times New Roman" w:eastAsia="Calibri" w:hAnsi="Times New Roman" w:cs="Times New Roman"/>
          <w:lang w:val="et-EE"/>
        </w:rPr>
        <w:t>*</w:t>
      </w:r>
      <w:r w:rsidRPr="003A4855">
        <w:rPr>
          <w:rFonts w:ascii="Times New Roman" w:eastAsia="Calibri" w:hAnsi="Times New Roman" w:cs="Times New Roman"/>
          <w:i/>
          <w:lang w:val="et-EE"/>
        </w:rPr>
        <w:t>Taastõendamisel on eneseanalüüsi asemel tööalase tegevuse profiili, töö tulemuslikkuse ja arendustegevuste kirjeldus taastõendamisele eelneva 5 aasta jooksul ning erialase tegevuse perspektiiv</w:t>
      </w:r>
    </w:p>
    <w:p w14:paraId="5FA16525" w14:textId="601F5098" w:rsidR="0090014C" w:rsidRPr="00E602A8" w:rsidRDefault="003A4855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>Taastõendamise korral oli kutsutud</w:t>
      </w:r>
      <w:r w:rsid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  <w:r w:rsidR="0090014C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vestlusele:  jah  </w:t>
      </w:r>
      <w:r w:rsidR="0090014C" w:rsidRPr="00E602A8">
        <w:rPr>
          <w:rFonts w:ascii="Segoe UI Symbol" w:eastAsia="Calibri" w:hAnsi="Segoe UI Symbol" w:cs="Segoe UI Symbol"/>
          <w:sz w:val="24"/>
          <w:szCs w:val="24"/>
          <w:lang w:val="et-EE"/>
        </w:rPr>
        <w:t>☐</w:t>
      </w:r>
      <w:r w:rsidR="0090014C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ei  </w:t>
      </w:r>
      <w:r w:rsidR="0090014C" w:rsidRPr="00E602A8">
        <w:rPr>
          <w:rFonts w:ascii="Segoe UI Symbol" w:eastAsia="Calibri" w:hAnsi="Segoe UI Symbol" w:cs="Segoe UI Symbol"/>
          <w:sz w:val="24"/>
          <w:szCs w:val="24"/>
          <w:lang w:val="et-EE"/>
        </w:rPr>
        <w:t>☐</w:t>
      </w:r>
    </w:p>
    <w:p w14:paraId="4DB23167" w14:textId="77777777" w:rsidR="0090014C" w:rsidRPr="00E602A8" w:rsidRDefault="0090014C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Tulemus:</w:t>
      </w:r>
    </w:p>
    <w:p w14:paraId="481E2B03" w14:textId="77777777" w:rsidR="0090014C" w:rsidRPr="00E602A8" w:rsidRDefault="0090014C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4864EFD3" w14:textId="77777777" w:rsidR="0090014C" w:rsidRPr="00E602A8" w:rsidRDefault="0090014C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Kokkuvõtlik tagasiside ja soovitused taotlejale:</w:t>
      </w:r>
    </w:p>
    <w:p w14:paraId="63515468" w14:textId="77777777" w:rsidR="0090014C" w:rsidRPr="00E602A8" w:rsidRDefault="0090014C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4220030E" w14:textId="77777777" w:rsidR="0090014C" w:rsidRPr="00E602A8" w:rsidRDefault="0090014C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Hindamiskomisjoni liikmed:  </w:t>
      </w:r>
    </w:p>
    <w:p w14:paraId="612211CA" w14:textId="77777777" w:rsidR="0090014C" w:rsidRPr="00E602A8" w:rsidRDefault="0090014C" w:rsidP="0090014C">
      <w:pPr>
        <w:spacing w:before="54"/>
        <w:ind w:firstLine="720"/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i/>
          <w:sz w:val="24"/>
          <w:szCs w:val="24"/>
          <w:lang w:val="et-EE"/>
        </w:rPr>
        <w:t>/nimed/</w:t>
      </w:r>
    </w:p>
    <w:p w14:paraId="73116D30" w14:textId="77777777" w:rsidR="0090014C" w:rsidRPr="00E602A8" w:rsidRDefault="0090014C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7E96BF79" w14:textId="77777777" w:rsidR="0090014C" w:rsidRPr="00E602A8" w:rsidRDefault="0090014C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Hindamiskomisjoni esimees:</w:t>
      </w:r>
    </w:p>
    <w:p w14:paraId="783C7AAB" w14:textId="77777777" w:rsidR="0090014C" w:rsidRPr="00E602A8" w:rsidRDefault="0090014C" w:rsidP="0090014C">
      <w:pPr>
        <w:spacing w:before="54"/>
        <w:ind w:firstLine="720"/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i/>
          <w:sz w:val="24"/>
          <w:szCs w:val="24"/>
          <w:lang w:val="et-EE"/>
        </w:rPr>
        <w:t>/nimi ja allkiri/                                                          /kuupäev/</w:t>
      </w:r>
    </w:p>
    <w:p w14:paraId="433AD9BF" w14:textId="77777777" w:rsidR="0090014C" w:rsidRPr="00E602A8" w:rsidRDefault="0090014C" w:rsidP="0090014C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43C05651" w14:textId="77777777" w:rsidR="00AB72D5" w:rsidRPr="00E602A8" w:rsidRDefault="00AB72D5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44BC4AC6" w14:textId="77777777" w:rsidR="0090014C" w:rsidRPr="00E602A8" w:rsidRDefault="0090014C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068D769C" w14:textId="77777777" w:rsidR="0090014C" w:rsidRPr="00E602A8" w:rsidRDefault="0090014C">
      <w:pPr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</w:p>
    <w:sectPr w:rsidR="0090014C" w:rsidRPr="00E602A8" w:rsidSect="007F3A94">
      <w:headerReference w:type="default" r:id="rId7"/>
      <w:pgSz w:w="11906" w:h="16838" w:code="9"/>
      <w:pgMar w:top="1440" w:right="1440" w:bottom="1135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C86179" w16cid:durableId="1DBFD876"/>
  <w16cid:commentId w16cid:paraId="5A50108F" w16cid:durableId="1DBFD83D"/>
  <w16cid:commentId w16cid:paraId="4C98213B" w16cid:durableId="1DBFDB5A"/>
  <w16cid:commentId w16cid:paraId="033FA1C3" w16cid:durableId="1DBFDC70"/>
  <w16cid:commentId w16cid:paraId="15BC689A" w16cid:durableId="1DBFF680"/>
  <w16cid:commentId w16cid:paraId="6B7C181B" w16cid:durableId="1DBFE04E"/>
  <w16cid:commentId w16cid:paraId="12B5B986" w16cid:durableId="1DBFE16E"/>
  <w16cid:commentId w16cid:paraId="609B0AF1" w16cid:durableId="1DBFE21C"/>
  <w16cid:commentId w16cid:paraId="77BC6A99" w16cid:durableId="1DBFE3E0"/>
  <w16cid:commentId w16cid:paraId="1DCD846A" w16cid:durableId="1DBFE3FC"/>
  <w16cid:commentId w16cid:paraId="44B78E20" w16cid:durableId="1DBFE48A"/>
  <w16cid:commentId w16cid:paraId="2B828CB0" w16cid:durableId="1DBFE4F5"/>
  <w16cid:commentId w16cid:paraId="44F5C061" w16cid:durableId="1DBFF704"/>
  <w16cid:commentId w16cid:paraId="2CEB8B38" w16cid:durableId="1DBFE88C"/>
  <w16cid:commentId w16cid:paraId="69969F12" w16cid:durableId="1DBFE8C2"/>
  <w16cid:commentId w16cid:paraId="7BB38333" w16cid:durableId="1DBFE99E"/>
  <w16cid:commentId w16cid:paraId="4278DFA5" w16cid:durableId="1DBFEA37"/>
  <w16cid:commentId w16cid:paraId="663E6A08" w16cid:durableId="1DBFEA93"/>
  <w16cid:commentId w16cid:paraId="60984870" w16cid:durableId="1DBFEAE7"/>
  <w16cid:commentId w16cid:paraId="1BDB6328" w16cid:durableId="1DBFEC7B"/>
  <w16cid:commentId w16cid:paraId="4527EC7E" w16cid:durableId="1DBFEC67"/>
  <w16cid:commentId w16cid:paraId="27C430DF" w16cid:durableId="1DBFEC94"/>
  <w16cid:commentId w16cid:paraId="36087A77" w16cid:durableId="1DBFECCA"/>
  <w16cid:commentId w16cid:paraId="6B7D8C0F" w16cid:durableId="1DBFEEA2"/>
  <w16cid:commentId w16cid:paraId="3EE58327" w16cid:durableId="1DBFED91"/>
  <w16cid:commentId w16cid:paraId="44729CF6" w16cid:durableId="1DBFEE22"/>
  <w16cid:commentId w16cid:paraId="7DAD96BF" w16cid:durableId="1DBFEF4A"/>
  <w16cid:commentId w16cid:paraId="42B8B5CA" w16cid:durableId="1DBFEF9C"/>
  <w16cid:commentId w16cid:paraId="6ACB6548" w16cid:durableId="1DBFEFEC"/>
  <w16cid:commentId w16cid:paraId="5FED317D" w16cid:durableId="1DBFEFFB"/>
  <w16cid:commentId w16cid:paraId="4CA04846" w16cid:durableId="1DBFF84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46D9A" w14:textId="77777777" w:rsidR="001D01CE" w:rsidRDefault="001D01CE" w:rsidP="00FF226E">
      <w:pPr>
        <w:spacing w:after="0" w:line="240" w:lineRule="auto"/>
      </w:pPr>
      <w:r>
        <w:separator/>
      </w:r>
    </w:p>
  </w:endnote>
  <w:endnote w:type="continuationSeparator" w:id="0">
    <w:p w14:paraId="74AF9340" w14:textId="77777777" w:rsidR="001D01CE" w:rsidRDefault="001D01CE" w:rsidP="00FF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94CD0" w14:textId="77777777" w:rsidR="001D01CE" w:rsidRDefault="001D01CE" w:rsidP="00FF226E">
      <w:pPr>
        <w:spacing w:after="0" w:line="240" w:lineRule="auto"/>
      </w:pPr>
      <w:r>
        <w:separator/>
      </w:r>
    </w:p>
  </w:footnote>
  <w:footnote w:type="continuationSeparator" w:id="0">
    <w:p w14:paraId="20427A11" w14:textId="77777777" w:rsidR="001D01CE" w:rsidRDefault="001D01CE" w:rsidP="00FF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E7C0" w14:textId="77777777" w:rsidR="000236B6" w:rsidRDefault="000236B6">
    <w:pPr>
      <w:pStyle w:val="Header"/>
    </w:pPr>
  </w:p>
  <w:p w14:paraId="7DD69992" w14:textId="77777777" w:rsidR="000236B6" w:rsidRDefault="000236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71F"/>
    <w:multiLevelType w:val="hybridMultilevel"/>
    <w:tmpl w:val="9DAEA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5D15"/>
    <w:multiLevelType w:val="hybridMultilevel"/>
    <w:tmpl w:val="7DA49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1DCD"/>
    <w:multiLevelType w:val="multilevel"/>
    <w:tmpl w:val="F6C447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844125"/>
    <w:multiLevelType w:val="hybridMultilevel"/>
    <w:tmpl w:val="D520DEF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74BAE"/>
    <w:multiLevelType w:val="hybridMultilevel"/>
    <w:tmpl w:val="18FA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228E"/>
    <w:multiLevelType w:val="multilevel"/>
    <w:tmpl w:val="AD96E1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144F7"/>
    <w:multiLevelType w:val="hybridMultilevel"/>
    <w:tmpl w:val="0190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A231E"/>
    <w:multiLevelType w:val="multilevel"/>
    <w:tmpl w:val="F4EA40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752EC4"/>
    <w:multiLevelType w:val="hybridMultilevel"/>
    <w:tmpl w:val="EFAE7082"/>
    <w:lvl w:ilvl="0" w:tplc="A58EC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E44BD"/>
    <w:multiLevelType w:val="hybridMultilevel"/>
    <w:tmpl w:val="7DA49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36DA7"/>
    <w:multiLevelType w:val="hybridMultilevel"/>
    <w:tmpl w:val="C6C641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54C19"/>
    <w:multiLevelType w:val="multilevel"/>
    <w:tmpl w:val="2342FB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71D244A3"/>
    <w:multiLevelType w:val="hybridMultilevel"/>
    <w:tmpl w:val="E7EA8B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F2DF8"/>
    <w:multiLevelType w:val="hybridMultilevel"/>
    <w:tmpl w:val="177444D8"/>
    <w:lvl w:ilvl="0" w:tplc="6FF0B63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40318"/>
    <w:multiLevelType w:val="multilevel"/>
    <w:tmpl w:val="CEDA338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8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14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  <w:num w:numId="12">
    <w:abstractNumId w:val="13"/>
  </w:num>
  <w:num w:numId="13">
    <w:abstractNumId w:val="8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57"/>
    <w:rsid w:val="000236B6"/>
    <w:rsid w:val="00037B84"/>
    <w:rsid w:val="00084272"/>
    <w:rsid w:val="000A037C"/>
    <w:rsid w:val="00157BBC"/>
    <w:rsid w:val="00171408"/>
    <w:rsid w:val="00175F83"/>
    <w:rsid w:val="001D01CE"/>
    <w:rsid w:val="002635CF"/>
    <w:rsid w:val="002B63B4"/>
    <w:rsid w:val="002E076D"/>
    <w:rsid w:val="003450AD"/>
    <w:rsid w:val="00345B21"/>
    <w:rsid w:val="00361FF9"/>
    <w:rsid w:val="00366039"/>
    <w:rsid w:val="003A4855"/>
    <w:rsid w:val="00450618"/>
    <w:rsid w:val="00461C6C"/>
    <w:rsid w:val="0046573A"/>
    <w:rsid w:val="004A2509"/>
    <w:rsid w:val="005079A5"/>
    <w:rsid w:val="0055780C"/>
    <w:rsid w:val="0059758B"/>
    <w:rsid w:val="006461A3"/>
    <w:rsid w:val="006573FB"/>
    <w:rsid w:val="0069467A"/>
    <w:rsid w:val="00694A53"/>
    <w:rsid w:val="006A7F36"/>
    <w:rsid w:val="006E169E"/>
    <w:rsid w:val="00724DDC"/>
    <w:rsid w:val="007425AD"/>
    <w:rsid w:val="007B432E"/>
    <w:rsid w:val="007E2051"/>
    <w:rsid w:val="007F3A94"/>
    <w:rsid w:val="00813662"/>
    <w:rsid w:val="00815674"/>
    <w:rsid w:val="0090014C"/>
    <w:rsid w:val="00911444"/>
    <w:rsid w:val="009A2533"/>
    <w:rsid w:val="009B0D76"/>
    <w:rsid w:val="009E196E"/>
    <w:rsid w:val="00A70F7E"/>
    <w:rsid w:val="00AB72D5"/>
    <w:rsid w:val="00B067BC"/>
    <w:rsid w:val="00B17806"/>
    <w:rsid w:val="00B570BB"/>
    <w:rsid w:val="00C07861"/>
    <w:rsid w:val="00C22774"/>
    <w:rsid w:val="00C60982"/>
    <w:rsid w:val="00CA1357"/>
    <w:rsid w:val="00CA299D"/>
    <w:rsid w:val="00CD6614"/>
    <w:rsid w:val="00CF4553"/>
    <w:rsid w:val="00D655FF"/>
    <w:rsid w:val="00D702B4"/>
    <w:rsid w:val="00E1035F"/>
    <w:rsid w:val="00E3764F"/>
    <w:rsid w:val="00E435E7"/>
    <w:rsid w:val="00E602A8"/>
    <w:rsid w:val="00E90EDA"/>
    <w:rsid w:val="00EA376B"/>
    <w:rsid w:val="00EB4534"/>
    <w:rsid w:val="00EC52E1"/>
    <w:rsid w:val="00EF031E"/>
    <w:rsid w:val="00EF08B6"/>
    <w:rsid w:val="00F52E71"/>
    <w:rsid w:val="00F635D2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C156"/>
  <w15:docId w15:val="{7B7350C5-ABCD-4A23-8C4B-8623B18D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99D"/>
    <w:pPr>
      <w:keepNext/>
      <w:numPr>
        <w:numId w:val="4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99D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99D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99D"/>
    <w:pPr>
      <w:keepNext/>
      <w:numPr>
        <w:ilvl w:val="3"/>
        <w:numId w:val="4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99D"/>
    <w:pPr>
      <w:numPr>
        <w:ilvl w:val="4"/>
        <w:numId w:val="4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A299D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99D"/>
    <w:pPr>
      <w:numPr>
        <w:ilvl w:val="6"/>
        <w:numId w:val="4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99D"/>
    <w:pPr>
      <w:numPr>
        <w:ilvl w:val="7"/>
        <w:numId w:val="4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99D"/>
    <w:pPr>
      <w:numPr>
        <w:ilvl w:val="8"/>
        <w:numId w:val="4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A13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22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paragraph" w:styleId="Header">
    <w:name w:val="header"/>
    <w:basedOn w:val="Normal"/>
    <w:link w:val="HeaderChar"/>
    <w:unhideWhenUsed/>
    <w:rsid w:val="00FF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26E"/>
  </w:style>
  <w:style w:type="paragraph" w:styleId="Footer">
    <w:name w:val="footer"/>
    <w:basedOn w:val="Normal"/>
    <w:link w:val="FooterChar"/>
    <w:uiPriority w:val="99"/>
    <w:unhideWhenUsed/>
    <w:rsid w:val="00FF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26E"/>
  </w:style>
  <w:style w:type="table" w:styleId="TableGrid">
    <w:name w:val="Table Grid"/>
    <w:basedOn w:val="TableNormal"/>
    <w:uiPriority w:val="59"/>
    <w:rsid w:val="00CF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29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9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9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99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99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A299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99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99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99D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7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B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B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4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Vaask</dc:creator>
  <cp:lastModifiedBy>Sirje Vaask</cp:lastModifiedBy>
  <cp:revision>3</cp:revision>
  <dcterms:created xsi:type="dcterms:W3CDTF">2017-11-26T11:03:00Z</dcterms:created>
  <dcterms:modified xsi:type="dcterms:W3CDTF">2017-12-01T08:20:00Z</dcterms:modified>
</cp:coreProperties>
</file>