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13" w:rsidRDefault="004E4213">
      <w:bookmarkStart w:id="0" w:name="_GoBack"/>
      <w:bookmarkEnd w:id="0"/>
    </w:p>
    <w:p w:rsidR="00D01BE8" w:rsidRPr="00961434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AA1728" w:rsidRDefault="00AA172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D01BE8" w:rsidRDefault="00D01BE8" w:rsidP="00D01BE8">
      <w:pPr>
        <w:pStyle w:val="ListParagraph"/>
        <w:tabs>
          <w:tab w:val="left" w:pos="567"/>
        </w:tabs>
        <w:ind w:left="0"/>
        <w:contextualSpacing w:val="0"/>
        <w:rPr>
          <w:color w:val="000000"/>
          <w:lang w:eastAsia="et-EE"/>
        </w:rPr>
      </w:pPr>
    </w:p>
    <w:p w:rsidR="00D01BE8" w:rsidRPr="00C25283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C25283">
        <w:rPr>
          <w:b/>
          <w:color w:val="000000"/>
          <w:sz w:val="28"/>
          <w:szCs w:val="28"/>
        </w:rPr>
        <w:t>Toitumisnõustaja ja toitumisterapeudi kutse</w:t>
      </w:r>
      <w:r w:rsidR="008B69AC">
        <w:rPr>
          <w:b/>
          <w:color w:val="000000"/>
          <w:sz w:val="28"/>
          <w:szCs w:val="28"/>
        </w:rPr>
        <w:t xml:space="preserve"> taotlemise</w:t>
      </w:r>
      <w:r w:rsidR="006D6221">
        <w:rPr>
          <w:b/>
          <w:color w:val="000000"/>
          <w:sz w:val="28"/>
          <w:szCs w:val="28"/>
        </w:rPr>
        <w:t>ks esitatavad dokumendid</w:t>
      </w:r>
    </w:p>
    <w:p w:rsidR="00D01BE8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A34935" w:rsidRDefault="00A34935" w:rsidP="00A34935">
      <w:pPr>
        <w:pStyle w:val="Heading2"/>
        <w:tabs>
          <w:tab w:val="clear" w:pos="0"/>
        </w:tabs>
        <w:ind w:left="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Kutse taotlemiseks</w:t>
      </w:r>
      <w:r w:rsidRPr="00A34935">
        <w:rPr>
          <w:b/>
          <w:i/>
          <w:color w:val="auto"/>
          <w:sz w:val="28"/>
          <w:szCs w:val="28"/>
        </w:rPr>
        <w:t xml:space="preserve"> esitatavad dokumendid</w:t>
      </w:r>
    </w:p>
    <w:p w:rsidR="00D01BE8" w:rsidRDefault="00D01BE8"/>
    <w:p w:rsidR="006D6221" w:rsidRPr="00505FC0" w:rsidRDefault="006D6221" w:rsidP="006D6221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>toitumisnõustaja, tase 5</w:t>
      </w:r>
      <w:r w:rsidRPr="00505FC0">
        <w:rPr>
          <w:color w:val="auto"/>
        </w:rPr>
        <w:t xml:space="preserve"> taotlemiseks esitatavad dokumendid: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>vormikohane avaldus (kirjalikku taasesitamist võimaldavas vormis);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>koopia isikut tõendavast dokumendist (pass või ID kaart);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>haridust tõendava(te) dokumendi(dokumentide) koopia(d);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>täiendkoolitus(t)e läbimist või varasemat kvalifikatsiooni tõendavate dokumentide koopiad;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05FC0">
        <w:rPr>
          <w:rFonts w:eastAsia="Calibri"/>
        </w:rPr>
        <w:t>Cu</w:t>
      </w:r>
      <w:r w:rsidRPr="00505FC0">
        <w:rPr>
          <w:rFonts w:eastAsia="Calibri"/>
          <w:spacing w:val="-1"/>
        </w:rPr>
        <w:t>r</w:t>
      </w:r>
      <w:r w:rsidRPr="00505FC0">
        <w:rPr>
          <w:rFonts w:eastAsia="Calibri"/>
        </w:rPr>
        <w:t>ric</w:t>
      </w:r>
      <w:r w:rsidRPr="00505FC0">
        <w:rPr>
          <w:rFonts w:eastAsia="Calibri"/>
          <w:spacing w:val="-1"/>
        </w:rPr>
        <w:t>u</w:t>
      </w:r>
      <w:r w:rsidRPr="00505FC0">
        <w:rPr>
          <w:rFonts w:eastAsia="Calibri"/>
        </w:rPr>
        <w:t>l</w:t>
      </w:r>
      <w:r w:rsidRPr="00505FC0">
        <w:rPr>
          <w:rFonts w:eastAsia="Calibri"/>
          <w:spacing w:val="-4"/>
        </w:rPr>
        <w:t>u</w:t>
      </w:r>
      <w:r w:rsidRPr="00505FC0">
        <w:rPr>
          <w:rFonts w:eastAsia="Calibri"/>
        </w:rPr>
        <w:t>m</w:t>
      </w:r>
      <w:r w:rsidRPr="00505FC0">
        <w:rPr>
          <w:rFonts w:eastAsia="Calibri"/>
          <w:spacing w:val="1"/>
        </w:rPr>
        <w:t xml:space="preserve"> v</w:t>
      </w:r>
      <w:r w:rsidRPr="00505FC0">
        <w:rPr>
          <w:rFonts w:eastAsia="Calibri"/>
          <w:spacing w:val="-3"/>
        </w:rPr>
        <w:t>i</w:t>
      </w:r>
      <w:r w:rsidRPr="00505FC0">
        <w:rPr>
          <w:rFonts w:eastAsia="Calibri"/>
        </w:rPr>
        <w:t>tae</w:t>
      </w:r>
      <w:r w:rsidRPr="00505FC0">
        <w:rPr>
          <w:rFonts w:eastAsia="Calibri"/>
          <w:spacing w:val="1"/>
        </w:rPr>
        <w:t xml:space="preserve"> (</w:t>
      </w:r>
      <w:r w:rsidRPr="00505FC0">
        <w:rPr>
          <w:rFonts w:eastAsia="Calibri"/>
        </w:rPr>
        <w:t>C</w:t>
      </w:r>
      <w:r w:rsidRPr="00505FC0">
        <w:rPr>
          <w:rFonts w:eastAsia="Calibri"/>
          <w:spacing w:val="-3"/>
        </w:rPr>
        <w:t>V</w:t>
      </w:r>
      <w:r w:rsidRPr="00505FC0">
        <w:rPr>
          <w:rFonts w:eastAsia="Calibri"/>
        </w:rPr>
        <w:t>)</w:t>
      </w:r>
      <w:r w:rsidRPr="00505FC0">
        <w:rPr>
          <w:rFonts w:eastAsia="Calibri"/>
          <w:spacing w:val="1"/>
        </w:rPr>
        <w:t xml:space="preserve"> </w:t>
      </w:r>
      <w:r w:rsidRPr="00505FC0">
        <w:rPr>
          <w:rFonts w:eastAsia="Calibri"/>
          <w:spacing w:val="2"/>
        </w:rPr>
        <w:t>või väljatrükk avalikust andmebaasist (nt ETIS-st)</w:t>
      </w:r>
      <w:r w:rsidRPr="00505FC0">
        <w:t>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suppressAutoHyphens w:val="0"/>
        <w:jc w:val="both"/>
        <w:rPr>
          <w:rFonts w:eastAsia="Calibri"/>
        </w:rPr>
      </w:pPr>
      <w:r w:rsidRPr="00505FC0">
        <w:rPr>
          <w:rFonts w:eastAsia="Calibri"/>
        </w:rPr>
        <w:t>tööalase tegevuse ja kutsestandardiga seotud tööperspektiivi ning arengusuundade kirjeldus (maksimaalselt 3000 tähemärki), soovi korral täiendavalt portfoolio (töid tutvustav mapp), publikatsioonide loetelu vms;</w:t>
      </w:r>
    </w:p>
    <w:p w:rsidR="006D6221" w:rsidRPr="00505FC0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 xml:space="preserve">nõusolek kokkulepitud ajavahemikus komisjoni poolt suunatud juhtumiuuringu (praktiline ülesanne) läbiviimiseks ning selle kohta kutse andjale eelinfo (kliendi/patsiendi kirjeldus), nõustamise helisalvestuse ja nõustamise dokumenteeritud tulemuste edastamiseks; </w:t>
      </w:r>
    </w:p>
    <w:p w:rsidR="006D6221" w:rsidRDefault="006D6221" w:rsidP="006D6221">
      <w:pPr>
        <w:pStyle w:val="ListParagraph"/>
        <w:numPr>
          <w:ilvl w:val="0"/>
          <w:numId w:val="1"/>
        </w:numPr>
        <w:jc w:val="both"/>
      </w:pPr>
      <w:r w:rsidRPr="00505FC0">
        <w:t>maksekorraldus või muu kinnitus kutse andmisega seotud kulude tasumise kohta.</w:t>
      </w:r>
    </w:p>
    <w:p w:rsidR="006D6221" w:rsidRPr="00505FC0" w:rsidRDefault="006D6221" w:rsidP="00A34935">
      <w:pPr>
        <w:pStyle w:val="ListParagraph"/>
        <w:ind w:left="1080"/>
        <w:jc w:val="both"/>
      </w:pPr>
    </w:p>
    <w:p w:rsidR="006D6221" w:rsidRPr="00505FC0" w:rsidRDefault="006D6221" w:rsidP="006D6221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>toitumisterapeut, tase 6</w:t>
      </w:r>
      <w:r w:rsidRPr="00505FC0">
        <w:rPr>
          <w:color w:val="auto"/>
        </w:rPr>
        <w:t xml:space="preserve"> taotlemiseks esitatavad dokumendid: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>vormikohane avaldus (kirjalikku taasesitamist võimaldavas vormis);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>koopia isikut tõendavast dokumendist (pass või ID kaart);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>haridust tõendava(te) dokumendi(dokumentide) koopia(d);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>täiendkoolitus(t)e läbimist või varasemat kvalifikatsiooni tõendavate dokumentide koopiad;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suppressAutoHyphens w:val="0"/>
        <w:ind w:hanging="360"/>
        <w:jc w:val="both"/>
        <w:rPr>
          <w:rFonts w:eastAsia="Calibri"/>
        </w:rPr>
      </w:pPr>
      <w:r w:rsidRPr="00505FC0">
        <w:rPr>
          <w:rFonts w:eastAsia="Calibri"/>
        </w:rPr>
        <w:t>Cu</w:t>
      </w:r>
      <w:r w:rsidRPr="00505FC0">
        <w:rPr>
          <w:rFonts w:eastAsia="Calibri"/>
          <w:spacing w:val="-1"/>
        </w:rPr>
        <w:t>r</w:t>
      </w:r>
      <w:r w:rsidRPr="00505FC0">
        <w:rPr>
          <w:rFonts w:eastAsia="Calibri"/>
        </w:rPr>
        <w:t>ric</w:t>
      </w:r>
      <w:r w:rsidRPr="00505FC0">
        <w:rPr>
          <w:rFonts w:eastAsia="Calibri"/>
          <w:spacing w:val="-1"/>
        </w:rPr>
        <w:t>u</w:t>
      </w:r>
      <w:r w:rsidRPr="00505FC0">
        <w:rPr>
          <w:rFonts w:eastAsia="Calibri"/>
        </w:rPr>
        <w:t>l</w:t>
      </w:r>
      <w:r w:rsidRPr="00505FC0">
        <w:rPr>
          <w:rFonts w:eastAsia="Calibri"/>
          <w:spacing w:val="-4"/>
        </w:rPr>
        <w:t>u</w:t>
      </w:r>
      <w:r w:rsidRPr="00505FC0">
        <w:rPr>
          <w:rFonts w:eastAsia="Calibri"/>
        </w:rPr>
        <w:t>m</w:t>
      </w:r>
      <w:r w:rsidRPr="00505FC0">
        <w:rPr>
          <w:rFonts w:eastAsia="Calibri"/>
          <w:spacing w:val="1"/>
        </w:rPr>
        <w:t xml:space="preserve"> v</w:t>
      </w:r>
      <w:r w:rsidRPr="00505FC0">
        <w:rPr>
          <w:rFonts w:eastAsia="Calibri"/>
          <w:spacing w:val="-3"/>
        </w:rPr>
        <w:t>i</w:t>
      </w:r>
      <w:r w:rsidRPr="00505FC0">
        <w:rPr>
          <w:rFonts w:eastAsia="Calibri"/>
        </w:rPr>
        <w:t>tae</w:t>
      </w:r>
      <w:r w:rsidRPr="00505FC0">
        <w:rPr>
          <w:rFonts w:eastAsia="Calibri"/>
          <w:spacing w:val="1"/>
        </w:rPr>
        <w:t xml:space="preserve"> (</w:t>
      </w:r>
      <w:r w:rsidRPr="00505FC0">
        <w:rPr>
          <w:rFonts w:eastAsia="Calibri"/>
        </w:rPr>
        <w:t>C</w:t>
      </w:r>
      <w:r w:rsidRPr="00505FC0">
        <w:rPr>
          <w:rFonts w:eastAsia="Calibri"/>
          <w:spacing w:val="-3"/>
        </w:rPr>
        <w:t>V</w:t>
      </w:r>
      <w:r w:rsidRPr="00505FC0">
        <w:rPr>
          <w:rFonts w:eastAsia="Calibri"/>
        </w:rPr>
        <w:t>)</w:t>
      </w:r>
      <w:r w:rsidRPr="00505FC0">
        <w:rPr>
          <w:rFonts w:eastAsia="Calibri"/>
          <w:spacing w:val="1"/>
        </w:rPr>
        <w:t xml:space="preserve"> </w:t>
      </w:r>
      <w:r w:rsidRPr="00505FC0">
        <w:rPr>
          <w:rFonts w:eastAsia="Calibri"/>
          <w:spacing w:val="2"/>
        </w:rPr>
        <w:t>või väljatrükk avalikust andmebaasist (nt ETIS-st)</w:t>
      </w:r>
      <w:r w:rsidRPr="00505FC0">
        <w:t>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suppressAutoHyphens w:val="0"/>
        <w:ind w:hanging="360"/>
        <w:jc w:val="both"/>
        <w:rPr>
          <w:rFonts w:eastAsia="Calibri"/>
        </w:rPr>
      </w:pPr>
      <w:r w:rsidRPr="00505FC0">
        <w:rPr>
          <w:rFonts w:eastAsia="Calibri"/>
        </w:rPr>
        <w:t>tööalase tegevuse ja kutsestandardiga seotud tööperspektiivi ning arengusuundade kirjeldus (maksimaalselt 4000 tähemärki), soovi korral täiendavalt portfoolio (töid tutvustav mapp), publikatsioonide loetelu vms;</w:t>
      </w:r>
    </w:p>
    <w:p w:rsidR="006D6221" w:rsidRPr="00505FC0" w:rsidRDefault="006D6221" w:rsidP="006D6221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 xml:space="preserve">nõusolek kokkulepitud ajavahemikus komisjoni poolt suunatud kliendi analüüsi läbiviimiseks ning selle kohta kutse andjale eelinfo (kliendi/patsiendi kirjeldus), nõustamise helisalvestuse ja nõustamise dokumenteeritud tulemuste edastamiseks; </w:t>
      </w:r>
    </w:p>
    <w:p w:rsidR="00B93E0A" w:rsidRDefault="006D6221" w:rsidP="00B93E0A">
      <w:pPr>
        <w:pStyle w:val="ListParagraph"/>
        <w:numPr>
          <w:ilvl w:val="3"/>
          <w:numId w:val="2"/>
        </w:numPr>
        <w:ind w:hanging="360"/>
        <w:contextualSpacing w:val="0"/>
        <w:jc w:val="both"/>
      </w:pPr>
      <w:r w:rsidRPr="00505FC0">
        <w:t>maksekorraldus või muu kinnitus kutse andmisega seotud kulude tasumise kohta.</w:t>
      </w:r>
    </w:p>
    <w:p w:rsidR="00B93E0A" w:rsidRDefault="00B93E0A" w:rsidP="00B93E0A">
      <w:pPr>
        <w:jc w:val="both"/>
      </w:pPr>
    </w:p>
    <w:p w:rsidR="00B93E0A" w:rsidRPr="00B93E0A" w:rsidRDefault="00B93E0A" w:rsidP="00B93E0A">
      <w:pPr>
        <w:jc w:val="both"/>
        <w:rPr>
          <w:i/>
        </w:rPr>
      </w:pPr>
      <w:r w:rsidRPr="00B93E0A">
        <w:rPr>
          <w:i/>
        </w:rPr>
        <w:t xml:space="preserve">Kutse andmiseks vajalikud dokumendid esitada elektroonselt e-postile  </w:t>
      </w:r>
      <w:hyperlink r:id="rId5" w:history="1">
        <w:r w:rsidRPr="00B93E0A">
          <w:rPr>
            <w:rStyle w:val="Hyperlink"/>
            <w:i/>
          </w:rPr>
          <w:t>kutseandminetoitumisnoustaja@gmail.com</w:t>
        </w:r>
      </w:hyperlink>
      <w:r w:rsidRPr="00B93E0A">
        <w:rPr>
          <w:i/>
        </w:rPr>
        <w:t xml:space="preserve"> või leppida kokku dokumentide üleandmine paberkandjal (Tallinnas). Dokumentide saatmisel e-postiga saadetakse teile kättesaamiskinnitus, paberkandjal dokumentide üleandmisel väljastatakse kättesaamiskinnitus samuti paberkandjal.</w:t>
      </w:r>
    </w:p>
    <w:p w:rsidR="00A34935" w:rsidRDefault="00A34935" w:rsidP="00594652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i/>
          <w:color w:val="000000"/>
          <w:sz w:val="28"/>
          <w:szCs w:val="28"/>
        </w:rPr>
      </w:pPr>
    </w:p>
    <w:p w:rsidR="00B93E0A" w:rsidRDefault="00B93E0A" w:rsidP="00594652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i/>
          <w:color w:val="000000"/>
          <w:sz w:val="28"/>
          <w:szCs w:val="28"/>
        </w:rPr>
      </w:pPr>
    </w:p>
    <w:p w:rsidR="00B93E0A" w:rsidRPr="00A34935" w:rsidRDefault="00B93E0A" w:rsidP="00594652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i/>
          <w:color w:val="000000"/>
          <w:sz w:val="28"/>
          <w:szCs w:val="28"/>
        </w:rPr>
      </w:pPr>
    </w:p>
    <w:p w:rsidR="00A34935" w:rsidRDefault="00A34935" w:rsidP="00A34935">
      <w:pPr>
        <w:pStyle w:val="Heading2"/>
        <w:tabs>
          <w:tab w:val="clear" w:pos="0"/>
        </w:tabs>
        <w:ind w:left="0"/>
        <w:jc w:val="both"/>
        <w:rPr>
          <w:b/>
          <w:i/>
          <w:color w:val="auto"/>
          <w:sz w:val="28"/>
          <w:szCs w:val="28"/>
        </w:rPr>
      </w:pPr>
      <w:r w:rsidRPr="00A34935">
        <w:rPr>
          <w:b/>
          <w:i/>
          <w:color w:val="auto"/>
          <w:sz w:val="28"/>
          <w:szCs w:val="28"/>
        </w:rPr>
        <w:lastRenderedPageBreak/>
        <w:t>Kutse taastõendamiseks esitatavad dokumendid</w:t>
      </w:r>
    </w:p>
    <w:p w:rsidR="00A34935" w:rsidRPr="00A34935" w:rsidRDefault="00A34935" w:rsidP="00A34935">
      <w:pPr>
        <w:rPr>
          <w:lang w:val="de-DE"/>
        </w:rPr>
      </w:pPr>
    </w:p>
    <w:p w:rsidR="00A34935" w:rsidRPr="00505FC0" w:rsidRDefault="00A34935" w:rsidP="00A34935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>toitumisnõustaja, tase 5</w:t>
      </w:r>
      <w:r w:rsidRPr="00505FC0">
        <w:rPr>
          <w:color w:val="auto"/>
        </w:rPr>
        <w:t xml:space="preserve"> taastõendamiseks esitatavad dokumendid: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>vormikohane avaldus (kirjalikku taasesitamist võimaldavas vormis);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>haridust tõendava(te) dokumendi(dokumentide) koopia(d), mis on saadud taastõendamisele eelneva 3 aasta jooksul;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 xml:space="preserve"> täiendkoolitus(t)e läbimist või varasemat kvalifikatsiooni tõendavate dokumentide koopiad, mis on läbitud taastõendamisele eelneva 3 aasta jooksul;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>tööalase tegevuse, s.h. erialase töö mahu ja klientide profiili kirjeldus ning mõõdetud näitajatega tagasiside (töö tulemuslikkuse) kirjeldus taastõendamisele eelneva 3 aasta jooksul (kuni 3000 tähemärki);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>erialase arendustegevuse ja enesearendustegevuste kirjeldus taastõendamisele eelneva 3 aasta jooksul (kuni 3000 tähemärki);</w:t>
      </w:r>
    </w:p>
    <w:p w:rsidR="00A34935" w:rsidRPr="00505FC0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 xml:space="preserve"> ühe valitud kliendi tööpraktika tulemuslikkuse näide juhtumianalüüsina (kuni 3000 tähemärki);</w:t>
      </w:r>
    </w:p>
    <w:p w:rsidR="00A34935" w:rsidRDefault="00A34935" w:rsidP="00A34935">
      <w:pPr>
        <w:pStyle w:val="ListParagraph"/>
        <w:numPr>
          <w:ilvl w:val="3"/>
          <w:numId w:val="4"/>
        </w:numPr>
        <w:ind w:hanging="360"/>
        <w:jc w:val="both"/>
      </w:pPr>
      <w:r w:rsidRPr="00505FC0">
        <w:t>maksekorraldus või muu kinnitus kutse andmisega seotud kulude tasumise kohta.</w:t>
      </w:r>
    </w:p>
    <w:p w:rsidR="00A34935" w:rsidRPr="00505FC0" w:rsidRDefault="00A34935" w:rsidP="00A34935">
      <w:pPr>
        <w:pStyle w:val="ListParagraph"/>
        <w:ind w:left="1080"/>
        <w:jc w:val="both"/>
      </w:pPr>
    </w:p>
    <w:p w:rsidR="00A34935" w:rsidRPr="00505FC0" w:rsidRDefault="00A34935" w:rsidP="00A34935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 xml:space="preserve">toitumisterapeut, tase 6 </w:t>
      </w:r>
      <w:r w:rsidRPr="00505FC0">
        <w:rPr>
          <w:color w:val="auto"/>
        </w:rPr>
        <w:t>taastõendamiseks esitatavad dokumendid: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 xml:space="preserve"> vormikohane avaldus (kirjalikku taasesitamist võimaldavas vormis);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 xml:space="preserve"> haridust tõendava(te) dokumendi(dokumentide) koopia(d), mis on saadud taastõendamisele eelneva 5 aasta jooksul;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>täiendkoolitus(t)e läbimist või varasemat kvalifikatsiooni tõendavate dokumentide koopiad, mis on läbitud taastõendamisele eelneva 5 aasta jooksul;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>tööalase tegevuse, s.h. erialase töö mahu ja klientide profiili kirjeldus ning mõõdetud näitajatega tagasiside (töö tulemuslikkuse) kirjeldus taastõendamisele eelneva 5 aasta jooksul (kuni 4000 tähemärki);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>erialase arendustegevuse ja enesearendustegevuste kirjeldus taastõendamisele eelneva 5 aasta jooksul (kuni 4000 tähemärki);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 xml:space="preserve"> ühe valitud kliendi tööpraktika tulemuslikkuse näide juhtumianalüüsina (kuni 4000 tähemärki);</w:t>
      </w:r>
    </w:p>
    <w:p w:rsidR="00A34935" w:rsidRPr="00505FC0" w:rsidRDefault="00A34935" w:rsidP="00A34935">
      <w:pPr>
        <w:pStyle w:val="ListParagraph"/>
        <w:numPr>
          <w:ilvl w:val="3"/>
          <w:numId w:val="5"/>
        </w:numPr>
        <w:ind w:hanging="360"/>
        <w:jc w:val="both"/>
      </w:pPr>
      <w:r w:rsidRPr="00505FC0">
        <w:t>maksekorraldus või muu kinnitus kutse andmisega seotud kulude tasumise kohta.</w:t>
      </w:r>
    </w:p>
    <w:p w:rsidR="00A34935" w:rsidRDefault="00A34935" w:rsidP="00594652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sectPr w:rsidR="00A3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125"/>
    <w:multiLevelType w:val="hybridMultilevel"/>
    <w:tmpl w:val="D520DE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62BCE"/>
    <w:multiLevelType w:val="multilevel"/>
    <w:tmpl w:val="8B387A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2" w15:restartNumberingAfterBreak="0">
    <w:nsid w:val="4A816FC2"/>
    <w:multiLevelType w:val="multilevel"/>
    <w:tmpl w:val="B4D03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9E4F92"/>
    <w:multiLevelType w:val="multilevel"/>
    <w:tmpl w:val="D90644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 w15:restartNumberingAfterBreak="0">
    <w:nsid w:val="7F140318"/>
    <w:multiLevelType w:val="multilevel"/>
    <w:tmpl w:val="CEDA338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E8"/>
    <w:rsid w:val="00313CED"/>
    <w:rsid w:val="004C6C49"/>
    <w:rsid w:val="004E4213"/>
    <w:rsid w:val="00594652"/>
    <w:rsid w:val="006D6221"/>
    <w:rsid w:val="008B69AC"/>
    <w:rsid w:val="00910C28"/>
    <w:rsid w:val="00A34935"/>
    <w:rsid w:val="00AA1728"/>
    <w:rsid w:val="00B93E0A"/>
    <w:rsid w:val="00C25283"/>
    <w:rsid w:val="00D01BE8"/>
    <w:rsid w:val="00E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A3A3-F7E1-4981-A07E-93E3377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6221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E8"/>
    <w:pPr>
      <w:ind w:left="720"/>
      <w:contextualSpacing/>
    </w:pPr>
  </w:style>
  <w:style w:type="paragraph" w:styleId="NoSpacing">
    <w:name w:val="No Spacing"/>
    <w:uiPriority w:val="1"/>
    <w:qFormat/>
    <w:rsid w:val="00D0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01B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6D6221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tseandminetoitumisnousta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Sirje Vaask</cp:lastModifiedBy>
  <cp:revision>2</cp:revision>
  <dcterms:created xsi:type="dcterms:W3CDTF">2018-05-28T21:41:00Z</dcterms:created>
  <dcterms:modified xsi:type="dcterms:W3CDTF">2018-05-28T21:41:00Z</dcterms:modified>
</cp:coreProperties>
</file>